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6FF46" w14:textId="1E487E8F" w:rsidR="00DB2036" w:rsidRPr="00DB2036" w:rsidRDefault="00DB2036">
      <w:pPr>
        <w:spacing w:after="0" w:line="259" w:lineRule="auto"/>
        <w:ind w:left="0" w:right="13" w:firstLine="0"/>
        <w:jc w:val="center"/>
        <w:rPr>
          <w:bCs/>
          <w:sz w:val="22"/>
        </w:rPr>
      </w:pPr>
      <w:r w:rsidRPr="00DB2036">
        <w:rPr>
          <w:bCs/>
          <w:sz w:val="22"/>
        </w:rPr>
        <w:t xml:space="preserve">Příloha č. 3 výzvy k podání nabídek </w:t>
      </w:r>
      <w:r w:rsidR="00D458FD">
        <w:rPr>
          <w:bCs/>
          <w:sz w:val="22"/>
        </w:rPr>
        <w:t>„</w:t>
      </w:r>
      <w:r w:rsidR="00D458FD" w:rsidRPr="0065595E">
        <w:rPr>
          <w:bCs/>
          <w:sz w:val="22"/>
        </w:rPr>
        <w:t>Poskytování bezpečnostních služeb pro objekt Žalanského 291</w:t>
      </w:r>
      <w:r w:rsidR="00D458FD">
        <w:rPr>
          <w:bCs/>
          <w:sz w:val="22"/>
        </w:rPr>
        <w:t>“</w:t>
      </w:r>
    </w:p>
    <w:p w14:paraId="5A06F5F9" w14:textId="7410C589" w:rsidR="002137B8" w:rsidRDefault="00DD246F">
      <w:pPr>
        <w:spacing w:after="0" w:line="259" w:lineRule="auto"/>
        <w:ind w:left="0" w:right="13" w:firstLine="0"/>
        <w:jc w:val="center"/>
      </w:pPr>
      <w:r>
        <w:rPr>
          <w:b/>
          <w:sz w:val="40"/>
        </w:rPr>
        <w:t>Smlouva o poskytování bezpečnostních služeb</w:t>
      </w:r>
    </w:p>
    <w:p w14:paraId="58173F27" w14:textId="77777777" w:rsidR="002137B8" w:rsidRDefault="00DD246F">
      <w:pPr>
        <w:spacing w:after="523" w:line="265" w:lineRule="auto"/>
        <w:ind w:right="9"/>
        <w:jc w:val="center"/>
      </w:pPr>
      <w:r>
        <w:rPr>
          <w:sz w:val="22"/>
        </w:rPr>
        <w:t>(dále jen „smlouva“).</w:t>
      </w:r>
    </w:p>
    <w:p w14:paraId="0EDE9203" w14:textId="77777777" w:rsidR="002137B8" w:rsidRDefault="00DD246F">
      <w:pPr>
        <w:spacing w:after="245" w:line="265" w:lineRule="auto"/>
        <w:ind w:left="3542" w:right="3538"/>
        <w:jc w:val="center"/>
      </w:pPr>
      <w:r>
        <w:rPr>
          <w:b/>
          <w:sz w:val="22"/>
        </w:rPr>
        <w:t>Účastníci smlouvy:</w:t>
      </w:r>
    </w:p>
    <w:p w14:paraId="0B944493" w14:textId="4F8540AF" w:rsidR="002137B8" w:rsidRDefault="00DD246F" w:rsidP="00867EBC">
      <w:pPr>
        <w:spacing w:after="120" w:line="240" w:lineRule="auto"/>
        <w:ind w:left="0" w:firstLine="0"/>
        <w:contextualSpacing/>
        <w:jc w:val="left"/>
      </w:pPr>
      <w:r>
        <w:rPr>
          <w:b/>
        </w:rPr>
        <w:t>Městská část Praha 17</w:t>
      </w:r>
    </w:p>
    <w:p w14:paraId="521779D1" w14:textId="460F58CF" w:rsidR="002137B8" w:rsidRDefault="00DD246F" w:rsidP="00867EBC">
      <w:pPr>
        <w:spacing w:after="120" w:line="240" w:lineRule="auto"/>
        <w:ind w:left="0" w:right="3"/>
        <w:contextualSpacing/>
        <w:jc w:val="left"/>
      </w:pPr>
      <w:r>
        <w:t>se sídlem: Žalanského 291/</w:t>
      </w:r>
      <w:proofErr w:type="gramStart"/>
      <w:r>
        <w:t>12b</w:t>
      </w:r>
      <w:proofErr w:type="gramEnd"/>
      <w:r>
        <w:t xml:space="preserve">, 163 02 Praha 6 - Řepy </w:t>
      </w:r>
    </w:p>
    <w:p w14:paraId="69A92C87" w14:textId="55CED1DE" w:rsidR="002137B8" w:rsidRDefault="00DD246F" w:rsidP="00867EBC">
      <w:pPr>
        <w:spacing w:after="120" w:line="240" w:lineRule="auto"/>
        <w:ind w:left="0" w:right="3"/>
        <w:contextualSpacing/>
        <w:jc w:val="left"/>
      </w:pPr>
      <w:r>
        <w:t xml:space="preserve">zastoupená Mgr. </w:t>
      </w:r>
      <w:r w:rsidR="008B512A">
        <w:t>Alenou Kopejtkovou</w:t>
      </w:r>
      <w:r>
        <w:t xml:space="preserve">, starostkou Městské části Praha 17 </w:t>
      </w:r>
    </w:p>
    <w:p w14:paraId="1A1E1C93" w14:textId="7A56153A" w:rsidR="002137B8" w:rsidRDefault="00DD246F" w:rsidP="00867EBC">
      <w:pPr>
        <w:spacing w:after="120" w:line="240" w:lineRule="auto"/>
        <w:ind w:left="0" w:right="3"/>
        <w:contextualSpacing/>
        <w:jc w:val="left"/>
      </w:pPr>
      <w:r>
        <w:t>IČ: 00231223</w:t>
      </w:r>
    </w:p>
    <w:p w14:paraId="103AEB9A" w14:textId="53793B45" w:rsidR="002137B8" w:rsidRDefault="00DD246F" w:rsidP="00867EBC">
      <w:pPr>
        <w:spacing w:after="120" w:line="240" w:lineRule="auto"/>
        <w:ind w:left="0" w:right="3"/>
        <w:contextualSpacing/>
        <w:jc w:val="left"/>
      </w:pPr>
      <w:r>
        <w:t>DIČ: CZ00231223</w:t>
      </w:r>
    </w:p>
    <w:p w14:paraId="03456E42" w14:textId="7E38FAC8" w:rsidR="00867EBC" w:rsidRDefault="00DD246F" w:rsidP="00867EBC">
      <w:pPr>
        <w:spacing w:after="120" w:line="240" w:lineRule="auto"/>
        <w:ind w:left="0" w:right="3" w:firstLine="0"/>
        <w:contextualSpacing/>
        <w:jc w:val="left"/>
      </w:pPr>
      <w:r>
        <w:t>bankovní spojení: Česká spořitelna a.s.</w:t>
      </w:r>
      <w:proofErr w:type="gramStart"/>
      <w:r w:rsidR="00D42E91">
        <w:t>,</w:t>
      </w:r>
      <w:r>
        <w:t xml:space="preserve">  č.</w:t>
      </w:r>
      <w:proofErr w:type="gramEnd"/>
      <w:r>
        <w:t xml:space="preserve"> účtu: 27-2000700399/0800</w:t>
      </w:r>
    </w:p>
    <w:p w14:paraId="3B0EC422" w14:textId="0C8364B0" w:rsidR="00867EBC" w:rsidRDefault="00DD246F" w:rsidP="00867EBC">
      <w:pPr>
        <w:spacing w:after="120" w:line="240" w:lineRule="auto"/>
        <w:ind w:left="0" w:right="3" w:firstLine="0"/>
        <w:contextualSpacing/>
        <w:jc w:val="left"/>
      </w:pPr>
      <w:r>
        <w:t>zástupce ve věcech technických: Ivana Havlíčková</w:t>
      </w:r>
      <w:r w:rsidR="00D42E91">
        <w:t>;</w:t>
      </w:r>
      <w:r>
        <w:t xml:space="preserve"> tel. 234 683 506, e-mail: </w:t>
      </w:r>
      <w:hyperlink r:id="rId8" w:history="1">
        <w:r w:rsidR="00867EBC" w:rsidRPr="00861C1E">
          <w:rPr>
            <w:rStyle w:val="Hypertextovodkaz"/>
          </w:rPr>
          <w:t>Ivana.Havlickova@praha17.cz</w:t>
        </w:r>
      </w:hyperlink>
    </w:p>
    <w:p w14:paraId="089FD7FF" w14:textId="77777777" w:rsidR="00867EBC" w:rsidRDefault="00867EBC" w:rsidP="00867EBC">
      <w:pPr>
        <w:spacing w:after="120" w:line="240" w:lineRule="auto"/>
        <w:ind w:left="0" w:right="3" w:firstLine="0"/>
        <w:contextualSpacing/>
        <w:jc w:val="left"/>
      </w:pPr>
    </w:p>
    <w:p w14:paraId="3F6D2F43" w14:textId="344AF7BC" w:rsidR="002137B8" w:rsidRDefault="00DD246F" w:rsidP="00867EBC">
      <w:pPr>
        <w:spacing w:after="120" w:line="240" w:lineRule="auto"/>
        <w:ind w:left="0" w:right="3" w:firstLine="0"/>
        <w:contextualSpacing/>
        <w:jc w:val="left"/>
      </w:pPr>
      <w:r>
        <w:t xml:space="preserve">dále jen </w:t>
      </w:r>
      <w:r>
        <w:rPr>
          <w:b/>
        </w:rPr>
        <w:t>„objednatel“</w:t>
      </w:r>
      <w:r>
        <w:t>, na straně jedné a</w:t>
      </w:r>
    </w:p>
    <w:p w14:paraId="3D16893B" w14:textId="77777777" w:rsidR="00867EBC" w:rsidRDefault="00867EBC" w:rsidP="00867EBC">
      <w:pPr>
        <w:spacing w:after="120" w:line="240" w:lineRule="auto"/>
        <w:ind w:left="0" w:right="3" w:firstLine="0"/>
        <w:contextualSpacing/>
        <w:jc w:val="left"/>
      </w:pPr>
    </w:p>
    <w:p w14:paraId="6AACCE57" w14:textId="1EDE2022" w:rsidR="00867EBC" w:rsidRDefault="00DD246F" w:rsidP="00867EBC">
      <w:pPr>
        <w:spacing w:after="120" w:line="240" w:lineRule="auto"/>
        <w:ind w:left="0" w:right="3" w:firstLine="0"/>
        <w:contextualSpacing/>
        <w:jc w:val="left"/>
        <w:rPr>
          <w:b/>
          <w:i/>
        </w:rPr>
      </w:pPr>
      <w:commentRangeStart w:id="0"/>
      <w:r>
        <w:rPr>
          <w:b/>
          <w:i/>
        </w:rPr>
        <w:t>Název firmy</w:t>
      </w:r>
      <w:r w:rsidRPr="00D42E91">
        <w:rPr>
          <w:b/>
          <w:i/>
          <w:highlight w:val="yellow"/>
        </w:rPr>
        <w:t>………</w:t>
      </w:r>
      <w:r w:rsidR="00D42E91">
        <w:rPr>
          <w:b/>
          <w:i/>
          <w:highlight w:val="yellow"/>
        </w:rPr>
        <w:t>…………</w:t>
      </w:r>
      <w:r w:rsidRPr="00D42E91">
        <w:rPr>
          <w:b/>
          <w:i/>
          <w:highlight w:val="yellow"/>
        </w:rPr>
        <w:t>….</w:t>
      </w:r>
    </w:p>
    <w:p w14:paraId="704E619C" w14:textId="465BB28D" w:rsidR="00867EBC" w:rsidRDefault="00DD246F" w:rsidP="00867EBC">
      <w:pPr>
        <w:spacing w:after="120" w:line="240" w:lineRule="auto"/>
        <w:ind w:left="0" w:right="3" w:firstLine="0"/>
        <w:contextualSpacing/>
        <w:jc w:val="left"/>
      </w:pPr>
      <w:r>
        <w:t xml:space="preserve">se </w:t>
      </w:r>
      <w:proofErr w:type="gramStart"/>
      <w:r>
        <w:t>sídlem:</w:t>
      </w:r>
      <w:r w:rsidRPr="00D42E91">
        <w:rPr>
          <w:highlight w:val="yellow"/>
        </w:rPr>
        <w:t>…</w:t>
      </w:r>
      <w:proofErr w:type="gramEnd"/>
      <w:r w:rsidRPr="00D42E91">
        <w:rPr>
          <w:highlight w:val="yellow"/>
        </w:rPr>
        <w:t>……………</w:t>
      </w:r>
      <w:r w:rsidR="00D42E91" w:rsidRPr="00D42E91">
        <w:rPr>
          <w:highlight w:val="yellow"/>
        </w:rPr>
        <w:t>……….</w:t>
      </w:r>
    </w:p>
    <w:p w14:paraId="5ABAFFA5" w14:textId="249B7886" w:rsidR="002137B8" w:rsidRDefault="00DD246F" w:rsidP="00867EBC">
      <w:pPr>
        <w:spacing w:after="120" w:line="240" w:lineRule="auto"/>
        <w:ind w:left="0" w:right="3" w:firstLine="0"/>
        <w:contextualSpacing/>
        <w:jc w:val="left"/>
      </w:pPr>
      <w:r>
        <w:t>zastoupená k smluvním jednáním:</w:t>
      </w:r>
    </w:p>
    <w:p w14:paraId="52EE42C5" w14:textId="527224C9" w:rsidR="002137B8" w:rsidRDefault="00DD246F" w:rsidP="00867EBC">
      <w:pPr>
        <w:tabs>
          <w:tab w:val="center" w:pos="2124"/>
        </w:tabs>
        <w:spacing w:after="120" w:line="240" w:lineRule="auto"/>
        <w:ind w:left="0" w:right="3" w:firstLine="0"/>
        <w:contextualSpacing/>
        <w:jc w:val="left"/>
      </w:pPr>
      <w:proofErr w:type="gramStart"/>
      <w:r>
        <w:t>IČ:</w:t>
      </w:r>
      <w:r w:rsidRPr="00D42E91">
        <w:rPr>
          <w:highlight w:val="yellow"/>
        </w:rPr>
        <w:t>…</w:t>
      </w:r>
      <w:proofErr w:type="gramEnd"/>
      <w:r w:rsidRPr="00D42E91">
        <w:rPr>
          <w:highlight w:val="yellow"/>
        </w:rPr>
        <w:t>………….</w:t>
      </w:r>
    </w:p>
    <w:p w14:paraId="6D019A15" w14:textId="7FFA1CE4" w:rsidR="00867EBC" w:rsidRDefault="00DD246F" w:rsidP="00867EBC">
      <w:pPr>
        <w:spacing w:after="120" w:line="240" w:lineRule="auto"/>
        <w:ind w:left="0" w:right="3" w:firstLine="0"/>
        <w:contextualSpacing/>
        <w:jc w:val="left"/>
      </w:pPr>
      <w:r>
        <w:t>DIČ: CZ</w:t>
      </w:r>
      <w:r w:rsidRPr="00D42E91">
        <w:rPr>
          <w:highlight w:val="yellow"/>
        </w:rPr>
        <w:t>………….</w:t>
      </w:r>
    </w:p>
    <w:p w14:paraId="198453A3" w14:textId="4684BADD" w:rsidR="002137B8" w:rsidRDefault="00DD246F" w:rsidP="00867EBC">
      <w:pPr>
        <w:spacing w:after="120" w:line="240" w:lineRule="auto"/>
        <w:ind w:left="0" w:right="3" w:firstLine="0"/>
        <w:contextualSpacing/>
        <w:jc w:val="left"/>
      </w:pPr>
      <w:r>
        <w:t xml:space="preserve">bankovní </w:t>
      </w:r>
      <w:proofErr w:type="gramStart"/>
      <w:r>
        <w:t>spojení:</w:t>
      </w:r>
      <w:r w:rsidRPr="00D42E91">
        <w:rPr>
          <w:highlight w:val="yellow"/>
        </w:rPr>
        <w:t>…</w:t>
      </w:r>
      <w:proofErr w:type="gramEnd"/>
      <w:r w:rsidRPr="00D42E91">
        <w:rPr>
          <w:highlight w:val="yellow"/>
        </w:rPr>
        <w:t>………..</w:t>
      </w:r>
      <w:r>
        <w:t xml:space="preserve"> č. účtu: </w:t>
      </w:r>
      <w:r w:rsidRPr="00D42E91">
        <w:rPr>
          <w:highlight w:val="yellow"/>
        </w:rPr>
        <w:t>…………</w:t>
      </w:r>
      <w:proofErr w:type="gramStart"/>
      <w:r w:rsidRPr="00D42E91">
        <w:rPr>
          <w:highlight w:val="yellow"/>
        </w:rPr>
        <w:t>…….</w:t>
      </w:r>
      <w:proofErr w:type="gramEnd"/>
      <w:r w:rsidRPr="00D42E91">
        <w:rPr>
          <w:highlight w:val="yellow"/>
        </w:rPr>
        <w:t>.</w:t>
      </w:r>
      <w:r>
        <w:t xml:space="preserve"> zapsaná v OR vedeném: </w:t>
      </w:r>
      <w:r w:rsidRPr="00D42E91">
        <w:rPr>
          <w:highlight w:val="yellow"/>
        </w:rPr>
        <w:t>……………</w:t>
      </w:r>
      <w:r>
        <w:t xml:space="preserve"> zastoupená k technickým jednáním: </w:t>
      </w:r>
      <w:r w:rsidRPr="00D42E91">
        <w:rPr>
          <w:highlight w:val="yellow"/>
        </w:rPr>
        <w:t>………</w:t>
      </w:r>
      <w:proofErr w:type="gramStart"/>
      <w:r w:rsidRPr="00D42E91">
        <w:rPr>
          <w:highlight w:val="yellow"/>
        </w:rPr>
        <w:t>…….</w:t>
      </w:r>
      <w:proofErr w:type="gramEnd"/>
      <w:r w:rsidRPr="00D42E91">
        <w:rPr>
          <w:highlight w:val="yellow"/>
        </w:rPr>
        <w:t>.</w:t>
      </w:r>
      <w:r>
        <w:t xml:space="preserve"> tel. </w:t>
      </w:r>
      <w:r>
        <w:rPr>
          <w:shd w:val="clear" w:color="auto" w:fill="FFFF00"/>
        </w:rPr>
        <w:t>………</w:t>
      </w:r>
      <w:proofErr w:type="gramStart"/>
      <w:r>
        <w:rPr>
          <w:shd w:val="clear" w:color="auto" w:fill="FFFF00"/>
        </w:rPr>
        <w:t>…….</w:t>
      </w:r>
      <w:proofErr w:type="gramEnd"/>
      <w:r>
        <w:t xml:space="preserve">, e-mail: </w:t>
      </w:r>
      <w:r w:rsidRPr="00D42E91">
        <w:rPr>
          <w:highlight w:val="yellow"/>
        </w:rPr>
        <w:t>……………………</w:t>
      </w:r>
      <w:commentRangeEnd w:id="0"/>
      <w:r w:rsidR="00E54C1F">
        <w:rPr>
          <w:rStyle w:val="Odkaznakoment"/>
        </w:rPr>
        <w:commentReference w:id="0"/>
      </w:r>
    </w:p>
    <w:p w14:paraId="142FE469" w14:textId="77777777" w:rsidR="00867EBC" w:rsidRDefault="00DD246F" w:rsidP="00867EBC">
      <w:pPr>
        <w:spacing w:after="120" w:line="240" w:lineRule="auto"/>
        <w:ind w:left="0" w:right="4943"/>
        <w:contextualSpacing/>
        <w:jc w:val="left"/>
      </w:pPr>
      <w:r>
        <w:t xml:space="preserve">dále jen </w:t>
      </w:r>
      <w:r>
        <w:rPr>
          <w:b/>
        </w:rPr>
        <w:t>„poskytovatel“,</w:t>
      </w:r>
      <w:r>
        <w:t xml:space="preserve"> na straně druhé </w:t>
      </w:r>
    </w:p>
    <w:p w14:paraId="7DDB3CB0" w14:textId="77777777" w:rsidR="00867EBC" w:rsidRDefault="00867EBC" w:rsidP="00867EBC">
      <w:pPr>
        <w:spacing w:after="120" w:line="240" w:lineRule="auto"/>
        <w:ind w:left="0" w:right="4943"/>
        <w:contextualSpacing/>
        <w:jc w:val="left"/>
      </w:pPr>
    </w:p>
    <w:p w14:paraId="0489666A" w14:textId="5EB433EE" w:rsidR="002137B8" w:rsidRDefault="00DD246F" w:rsidP="00867EBC">
      <w:pPr>
        <w:spacing w:after="120" w:line="240" w:lineRule="auto"/>
        <w:ind w:left="0" w:right="4943"/>
        <w:contextualSpacing/>
        <w:jc w:val="left"/>
      </w:pPr>
      <w:r>
        <w:t>se dohodly takto:</w:t>
      </w:r>
    </w:p>
    <w:p w14:paraId="262AADF3" w14:textId="77777777" w:rsidR="002137B8" w:rsidRDefault="00DD246F">
      <w:pPr>
        <w:pStyle w:val="Nadpis1"/>
        <w:tabs>
          <w:tab w:val="center" w:pos="3211"/>
          <w:tab w:val="center" w:pos="4714"/>
        </w:tabs>
        <w:ind w:left="0" w:firstLine="0"/>
        <w:jc w:val="left"/>
      </w:pPr>
      <w:r>
        <w:rPr>
          <w:rFonts w:ascii="Calibri" w:eastAsia="Calibri" w:hAnsi="Calibri" w:cs="Calibri"/>
          <w:b w:val="0"/>
          <w:sz w:val="22"/>
        </w:rPr>
        <w:tab/>
      </w:r>
      <w:r>
        <w:t>I.</w:t>
      </w:r>
      <w:r>
        <w:tab/>
        <w:t>Předmět a účel smlouvy</w:t>
      </w:r>
    </w:p>
    <w:p w14:paraId="4E601B05" w14:textId="3740469C" w:rsidR="002137B8" w:rsidRDefault="00DD246F">
      <w:pPr>
        <w:ind w:left="-5" w:right="3"/>
      </w:pPr>
      <w:r>
        <w:t xml:space="preserve">Předmětem veřejné zakázky je poskytování bezpečnostních </w:t>
      </w:r>
      <w:r w:rsidR="00D42E91">
        <w:t>služeb – fyzické</w:t>
      </w:r>
      <w:r>
        <w:t xml:space="preserve"> ostrahy objektu (majetku), který je ve svěřené správě objednatele nebo objektu, který je objednatelem užíván. Fyzickou ostrahou objektu se rozumí všechna opatření, která mají zabránit vniknutí nepovolaných osob do prostor objednatele uvedených v této smlouvě, zabránění vzniku škod na movitém i nemovitém majetku objednatele, zabránění vzniku mimořádných událostí v uvedených prostorách objednatele a jejím bezprostředním okolí. Dále je předmětem smlouvy výkon režimových opatření, hlídková činnost a provádění fyzické ochrany osob (doprovody), popřípadě plnění dalších specifických úkolů souvisejících s ostrahou objektu.</w:t>
      </w:r>
    </w:p>
    <w:p w14:paraId="0190797D" w14:textId="77777777" w:rsidR="008B512A" w:rsidRDefault="008B512A">
      <w:pPr>
        <w:ind w:left="-5" w:right="3"/>
      </w:pPr>
    </w:p>
    <w:p w14:paraId="57F95D31" w14:textId="77777777" w:rsidR="002137B8" w:rsidRDefault="00DD246F">
      <w:pPr>
        <w:pStyle w:val="Nadpis1"/>
        <w:spacing w:after="216"/>
        <w:ind w:left="1407" w:right="1401"/>
      </w:pPr>
      <w:r>
        <w:t>A. Režimová opatření</w:t>
      </w:r>
    </w:p>
    <w:p w14:paraId="1478FA7E" w14:textId="77777777" w:rsidR="002137B8" w:rsidRDefault="00DD246F" w:rsidP="00867EBC">
      <w:pPr>
        <w:numPr>
          <w:ilvl w:val="0"/>
          <w:numId w:val="1"/>
        </w:numPr>
        <w:ind w:left="426" w:right="3" w:hanging="360"/>
      </w:pPr>
      <w:r>
        <w:t>vstupní a výstupní režim osob, který zahrnuje kontrolu vstupu zaměstnanců a jiných osob do objektu nebo jeho částí, kontrolu odchodu osob apod.</w:t>
      </w:r>
    </w:p>
    <w:p w14:paraId="002E7783" w14:textId="77777777" w:rsidR="002137B8" w:rsidRDefault="00DD246F" w:rsidP="00867EBC">
      <w:pPr>
        <w:numPr>
          <w:ilvl w:val="0"/>
          <w:numId w:val="1"/>
        </w:numPr>
        <w:ind w:left="426" w:right="3" w:hanging="360"/>
      </w:pPr>
      <w:r>
        <w:t>režim manipulace s klíči, vydávání klíčů od jednotlivých kanceláří v objektu oprávněným osobám, s vedením příslušné dokumentace v knize událostí</w:t>
      </w:r>
    </w:p>
    <w:p w14:paraId="11AB97DC" w14:textId="77777777" w:rsidR="002137B8" w:rsidRDefault="00DD246F" w:rsidP="00867EBC">
      <w:pPr>
        <w:numPr>
          <w:ilvl w:val="0"/>
          <w:numId w:val="1"/>
        </w:numPr>
        <w:ind w:left="426" w:right="3" w:hanging="360"/>
      </w:pPr>
      <w:r>
        <w:t xml:space="preserve">poskytování nejnutnějších informací občanů (návštěvníkům objektu) </w:t>
      </w:r>
    </w:p>
    <w:p w14:paraId="7EEDA065" w14:textId="77777777" w:rsidR="002137B8" w:rsidRDefault="00DD246F" w:rsidP="00867EBC">
      <w:pPr>
        <w:numPr>
          <w:ilvl w:val="0"/>
          <w:numId w:val="1"/>
        </w:numPr>
        <w:ind w:left="426" w:right="3" w:hanging="360"/>
      </w:pPr>
      <w:r>
        <w:t xml:space="preserve">vedení knihy událostí a další povinné administrativy </w:t>
      </w:r>
    </w:p>
    <w:p w14:paraId="7D2F4A37" w14:textId="77777777" w:rsidR="002137B8" w:rsidRDefault="00DD246F" w:rsidP="00867EBC">
      <w:pPr>
        <w:numPr>
          <w:ilvl w:val="0"/>
          <w:numId w:val="1"/>
        </w:numPr>
        <w:ind w:left="426" w:right="3" w:hanging="360"/>
      </w:pPr>
      <w:r>
        <w:lastRenderedPageBreak/>
        <w:t xml:space="preserve">ohlašovací povinnost stanovena prováděcím předpisem o ochraně objektu budovy </w:t>
      </w:r>
    </w:p>
    <w:p w14:paraId="1A3F183E" w14:textId="77777777" w:rsidR="002137B8" w:rsidRDefault="00DD246F" w:rsidP="00867EBC">
      <w:pPr>
        <w:ind w:left="426" w:right="3"/>
      </w:pPr>
      <w:r>
        <w:t>Městské části Praha 17 (dále jen „MČ Praha 17)</w:t>
      </w:r>
    </w:p>
    <w:p w14:paraId="0191CA89" w14:textId="77777777" w:rsidR="002137B8" w:rsidRDefault="00DD246F" w:rsidP="00867EBC">
      <w:pPr>
        <w:numPr>
          <w:ilvl w:val="0"/>
          <w:numId w:val="1"/>
        </w:numPr>
        <w:ind w:left="426" w:right="3" w:hanging="360"/>
      </w:pPr>
      <w:r>
        <w:t>evidence závad a informování správce objektu</w:t>
      </w:r>
    </w:p>
    <w:p w14:paraId="51138C3C" w14:textId="77777777" w:rsidR="002137B8" w:rsidRDefault="00DD246F" w:rsidP="00867EBC">
      <w:pPr>
        <w:numPr>
          <w:ilvl w:val="0"/>
          <w:numId w:val="1"/>
        </w:numPr>
        <w:ind w:left="426" w:right="3" w:hanging="360"/>
      </w:pPr>
      <w:r>
        <w:t xml:space="preserve">písemná evidence průběhu služby </w:t>
      </w:r>
    </w:p>
    <w:p w14:paraId="0E6CFA5D" w14:textId="379F4B6D" w:rsidR="008B512A" w:rsidRDefault="008B512A" w:rsidP="00644AEE">
      <w:pPr>
        <w:ind w:right="3"/>
      </w:pPr>
    </w:p>
    <w:p w14:paraId="3DE3AC9F" w14:textId="77777777" w:rsidR="002137B8" w:rsidRDefault="00DD246F">
      <w:pPr>
        <w:pStyle w:val="Nadpis1"/>
        <w:spacing w:after="214"/>
        <w:ind w:left="1407" w:right="1403"/>
      </w:pPr>
      <w:r>
        <w:t>B. Činnost ostrahy</w:t>
      </w:r>
    </w:p>
    <w:p w14:paraId="62623417" w14:textId="77777777" w:rsidR="002137B8" w:rsidRDefault="00DD246F" w:rsidP="00867EBC">
      <w:pPr>
        <w:numPr>
          <w:ilvl w:val="0"/>
          <w:numId w:val="2"/>
        </w:numPr>
        <w:ind w:left="426" w:right="3" w:hanging="360"/>
      </w:pPr>
      <w:r>
        <w:t>zajištění vstupu oprávněných osob po uzavření objektu</w:t>
      </w:r>
    </w:p>
    <w:p w14:paraId="6C753882" w14:textId="77777777" w:rsidR="002137B8" w:rsidRDefault="00DD246F" w:rsidP="00867EBC">
      <w:pPr>
        <w:numPr>
          <w:ilvl w:val="0"/>
          <w:numId w:val="2"/>
        </w:numPr>
        <w:ind w:left="426" w:right="3" w:hanging="360"/>
      </w:pPr>
      <w:r>
        <w:t>hlídková činnost, při níž se kontroluje celý prostor střeženého objektu a jeho okolí, včetně přilehlých komunikací</w:t>
      </w:r>
    </w:p>
    <w:p w14:paraId="6805D17B" w14:textId="77777777" w:rsidR="002137B8" w:rsidRDefault="00DD246F" w:rsidP="00867EBC">
      <w:pPr>
        <w:numPr>
          <w:ilvl w:val="0"/>
          <w:numId w:val="2"/>
        </w:numPr>
        <w:ind w:left="426" w:right="3" w:hanging="360"/>
      </w:pPr>
      <w:r>
        <w:t>obsluha telefonní ústředny (po ukončení pracovní doby)</w:t>
      </w:r>
    </w:p>
    <w:p w14:paraId="42423812" w14:textId="77777777" w:rsidR="002137B8" w:rsidRDefault="00DD246F" w:rsidP="00867EBC">
      <w:pPr>
        <w:numPr>
          <w:ilvl w:val="0"/>
          <w:numId w:val="2"/>
        </w:numPr>
        <w:ind w:left="426" w:right="3" w:hanging="360"/>
      </w:pPr>
      <w:r>
        <w:t>dodržování zákazu vstupu do objektu osobám podnapilým, které by mohly ohrozit zdraví a život zaměstnanců Úřadu MČ Praha 17, popřípadě způsobit škodu na majetku nebo jinak rušit veřejný pořádek</w:t>
      </w:r>
    </w:p>
    <w:p w14:paraId="016DE2F5" w14:textId="77777777" w:rsidR="002137B8" w:rsidRDefault="00DD246F" w:rsidP="00867EBC">
      <w:pPr>
        <w:numPr>
          <w:ilvl w:val="0"/>
          <w:numId w:val="2"/>
        </w:numPr>
        <w:ind w:left="426" w:right="3" w:hanging="360"/>
      </w:pPr>
      <w:r>
        <w:t xml:space="preserve">odemykání vstupních vrat hřbitova, přičemž hřbitov musí být podle návštěvního řádu zpřístupněn denně od 8.00 hodin. </w:t>
      </w:r>
    </w:p>
    <w:p w14:paraId="6FA8915D" w14:textId="77777777" w:rsidR="002137B8" w:rsidRDefault="00DD246F" w:rsidP="00867EBC">
      <w:pPr>
        <w:numPr>
          <w:ilvl w:val="0"/>
          <w:numId w:val="2"/>
        </w:numPr>
        <w:ind w:left="426" w:right="3" w:hanging="360"/>
      </w:pPr>
      <w:r>
        <w:t>doprovody při převozu peněz, cenin a dokumentů (budou prováděny v rámci ostrahy úřadu, pouze doprovodem, automobil a řidiče zajistí objednatel)</w:t>
      </w:r>
    </w:p>
    <w:p w14:paraId="30DD9E1D" w14:textId="77777777" w:rsidR="002137B8" w:rsidRDefault="00DD246F" w:rsidP="00867EBC">
      <w:pPr>
        <w:numPr>
          <w:ilvl w:val="0"/>
          <w:numId w:val="2"/>
        </w:numPr>
        <w:ind w:left="426" w:right="3" w:hanging="360"/>
      </w:pPr>
      <w:r>
        <w:t>jiné úkoly, podle konkrétních požadavků, které mohou být požadovány ze strany MČ Praha 17, přičemž musí být oznámeny písemnou formou.</w:t>
      </w:r>
    </w:p>
    <w:p w14:paraId="4107912E" w14:textId="77777777" w:rsidR="002137B8" w:rsidRDefault="00DD246F" w:rsidP="00867EBC">
      <w:pPr>
        <w:numPr>
          <w:ilvl w:val="0"/>
          <w:numId w:val="2"/>
        </w:numPr>
        <w:spacing w:after="259"/>
        <w:ind w:left="426" w:right="3" w:hanging="360"/>
      </w:pPr>
      <w:r>
        <w:t>v případě potřeby mimořádného úklidu sněhu v mimopracovních dobu prohrnutí přístupové cesty</w:t>
      </w:r>
    </w:p>
    <w:p w14:paraId="5A5978F6" w14:textId="77777777" w:rsidR="002137B8" w:rsidRDefault="00DD246F">
      <w:pPr>
        <w:pStyle w:val="Nadpis1"/>
        <w:spacing w:after="250"/>
        <w:ind w:left="1407" w:right="1054"/>
      </w:pPr>
      <w:r>
        <w:t>C. Hlídková činnost</w:t>
      </w:r>
    </w:p>
    <w:p w14:paraId="35825ABF" w14:textId="77777777" w:rsidR="002137B8" w:rsidRDefault="00DD246F" w:rsidP="00867EBC">
      <w:pPr>
        <w:numPr>
          <w:ilvl w:val="0"/>
          <w:numId w:val="3"/>
        </w:numPr>
        <w:ind w:left="426" w:right="3" w:hanging="426"/>
      </w:pPr>
      <w:r>
        <w:t>hlídková činnost se vykonává denně, ve večerních hodinách stanovených objednatelem</w:t>
      </w:r>
    </w:p>
    <w:p w14:paraId="64E02202" w14:textId="77777777" w:rsidR="002137B8" w:rsidRDefault="00DD246F" w:rsidP="00867EBC">
      <w:pPr>
        <w:numPr>
          <w:ilvl w:val="0"/>
          <w:numId w:val="3"/>
        </w:numPr>
        <w:ind w:left="426" w:right="3" w:hanging="426"/>
      </w:pPr>
      <w:r>
        <w:t>hlídková činnost zahrnuje:</w:t>
      </w:r>
    </w:p>
    <w:p w14:paraId="058591A7" w14:textId="77777777" w:rsidR="002137B8" w:rsidRDefault="00DD246F">
      <w:pPr>
        <w:numPr>
          <w:ilvl w:val="0"/>
          <w:numId w:val="4"/>
        </w:numPr>
        <w:ind w:right="3" w:hanging="360"/>
      </w:pPr>
      <w:r>
        <w:t>uzamykání hřbitova, včetně kontroly celého prostoru hřbitova v době před jeho zavřením, aby nedošlo k uzamčení návštěvníků hřbitova nebo nežádoucím činnostem či pobytu osob v jeho prostorách po 20 hod. v letních měsících, po 19 hod. v zimních měsících</w:t>
      </w:r>
    </w:p>
    <w:p w14:paraId="70316EDC" w14:textId="77777777" w:rsidR="002137B8" w:rsidRDefault="00DD246F">
      <w:pPr>
        <w:numPr>
          <w:ilvl w:val="0"/>
          <w:numId w:val="4"/>
        </w:numPr>
        <w:ind w:right="3" w:hanging="360"/>
      </w:pPr>
      <w:r>
        <w:t xml:space="preserve">1x kontrola uzamčení vstupních dveří do spisovny v přízemí objektu a do prostoru kanceláří v 1., 2. a 3. patře objektu detašovaného pracoviště Úřadu MČ Praha 17 Španielova 1280, Praha 17 – Řepy po 20 hodině </w:t>
      </w:r>
    </w:p>
    <w:p w14:paraId="3376DACB" w14:textId="77777777" w:rsidR="002137B8" w:rsidRDefault="00DD246F">
      <w:pPr>
        <w:numPr>
          <w:ilvl w:val="0"/>
          <w:numId w:val="4"/>
        </w:numPr>
        <w:spacing w:after="501"/>
        <w:ind w:right="3" w:hanging="360"/>
      </w:pPr>
      <w:r>
        <w:t>1x kontrola v celém objektu veřejně přístupných prostor v objektu Poliklinika Žufanova čp. 1113 a 1114, Praha 17 – Řepy, v případě zjištění přítomnosti nepovolaných osob jejich vykázání z objektu a uzamčení objektu po 20 hodině</w:t>
      </w:r>
    </w:p>
    <w:p w14:paraId="4806E46D" w14:textId="2ED8B7D2" w:rsidR="002137B8" w:rsidRDefault="008B512A">
      <w:pPr>
        <w:pStyle w:val="Nadpis1"/>
        <w:spacing w:after="216"/>
        <w:ind w:left="1407" w:right="1404"/>
      </w:pPr>
      <w:r>
        <w:t>D</w:t>
      </w:r>
      <w:r w:rsidR="00DD246F">
        <w:t>. Doba zajištění ostrahy</w:t>
      </w:r>
    </w:p>
    <w:p w14:paraId="4B761006" w14:textId="77777777" w:rsidR="002137B8" w:rsidRDefault="00DD246F">
      <w:pPr>
        <w:numPr>
          <w:ilvl w:val="0"/>
          <w:numId w:val="6"/>
        </w:numPr>
        <w:ind w:right="3" w:hanging="360"/>
      </w:pPr>
      <w:r>
        <w:t>v objektu Úřadu MČ Praha 17, Žalanského 291/</w:t>
      </w:r>
      <w:proofErr w:type="gramStart"/>
      <w:r>
        <w:t>12b</w:t>
      </w:r>
      <w:proofErr w:type="gramEnd"/>
    </w:p>
    <w:p w14:paraId="2D5F4BFA" w14:textId="2EE7DEFF" w:rsidR="002137B8" w:rsidRDefault="00DD246F" w:rsidP="008B512A">
      <w:pPr>
        <w:numPr>
          <w:ilvl w:val="1"/>
          <w:numId w:val="6"/>
        </w:numPr>
        <w:spacing w:after="262"/>
        <w:ind w:right="3" w:hanging="360"/>
      </w:pPr>
      <w:r>
        <w:t>nepřetržitá služba - 1 zaměstnanec</w:t>
      </w:r>
    </w:p>
    <w:p w14:paraId="4B8C434F" w14:textId="5EFF0C4B" w:rsidR="008B512A" w:rsidRDefault="008B512A">
      <w:pPr>
        <w:spacing w:after="160" w:line="259" w:lineRule="auto"/>
        <w:ind w:left="0" w:firstLine="0"/>
        <w:jc w:val="left"/>
      </w:pPr>
      <w:r>
        <w:br w:type="page"/>
      </w:r>
    </w:p>
    <w:p w14:paraId="3BF27822" w14:textId="35CB7A52" w:rsidR="002137B8" w:rsidRDefault="008B512A">
      <w:pPr>
        <w:pStyle w:val="Nadpis1"/>
        <w:spacing w:after="216"/>
        <w:ind w:left="1407" w:right="1403"/>
      </w:pPr>
      <w:r>
        <w:lastRenderedPageBreak/>
        <w:t>E</w:t>
      </w:r>
      <w:r w:rsidR="00DD246F">
        <w:t>. Místo plnění</w:t>
      </w:r>
    </w:p>
    <w:p w14:paraId="5FF780AC" w14:textId="77777777" w:rsidR="002137B8" w:rsidRDefault="00DD246F">
      <w:pPr>
        <w:ind w:left="-5" w:right="3"/>
      </w:pPr>
      <w:r>
        <w:t>1) místo plnění</w:t>
      </w:r>
    </w:p>
    <w:p w14:paraId="3DD7B661" w14:textId="77777777" w:rsidR="008B512A" w:rsidRDefault="00DD246F" w:rsidP="008B512A">
      <w:pPr>
        <w:numPr>
          <w:ilvl w:val="0"/>
          <w:numId w:val="18"/>
        </w:numPr>
        <w:spacing w:after="0"/>
        <w:ind w:right="3"/>
      </w:pPr>
      <w:r>
        <w:t>činnost ostrahy:</w:t>
      </w:r>
    </w:p>
    <w:p w14:paraId="605D38C5" w14:textId="5708F281" w:rsidR="008B512A" w:rsidRDefault="00DD246F" w:rsidP="008B512A">
      <w:pPr>
        <w:spacing w:after="0"/>
        <w:ind w:left="708" w:right="3" w:firstLine="0"/>
      </w:pPr>
      <w:r>
        <w:t>základní stanoviště se nachází u vchodu do budovy Úřadu MČ Praha 17, Žalanského 291/</w:t>
      </w:r>
      <w:proofErr w:type="gramStart"/>
      <w:r>
        <w:t>12b</w:t>
      </w:r>
      <w:proofErr w:type="gramEnd"/>
      <w:r>
        <w:t>, Praha 6 – Řepy</w:t>
      </w:r>
    </w:p>
    <w:p w14:paraId="4AD6B23B" w14:textId="77777777" w:rsidR="002137B8" w:rsidRDefault="00DD246F" w:rsidP="008B512A">
      <w:pPr>
        <w:numPr>
          <w:ilvl w:val="0"/>
          <w:numId w:val="18"/>
        </w:numPr>
        <w:spacing w:after="0"/>
        <w:ind w:right="3"/>
      </w:pPr>
      <w:r>
        <w:t>hlídková činnost:</w:t>
      </w:r>
    </w:p>
    <w:p w14:paraId="3EDAFFD7" w14:textId="112CCB64" w:rsidR="002137B8" w:rsidRDefault="00DD246F" w:rsidP="00867EBC">
      <w:pPr>
        <w:numPr>
          <w:ilvl w:val="1"/>
          <w:numId w:val="18"/>
        </w:numPr>
        <w:spacing w:after="0"/>
        <w:ind w:left="1134" w:right="3" w:hanging="425"/>
      </w:pPr>
      <w:r>
        <w:t xml:space="preserve">detašovaného pracoviště úřadu v objektu Španielova 1280, Praha 6 – Řepy, </w:t>
      </w:r>
      <w:r w:rsidR="00867EBC">
        <w:t>1</w:t>
      </w:r>
      <w:r w:rsidR="006A6DFA">
        <w:t>-</w:t>
      </w:r>
      <w:r>
        <w:t>3</w:t>
      </w:r>
      <w:r w:rsidR="006A6DFA">
        <w:rPr>
          <w:color w:val="auto"/>
        </w:rPr>
        <w:t xml:space="preserve"> </w:t>
      </w:r>
      <w:r>
        <w:t>patro</w:t>
      </w:r>
    </w:p>
    <w:p w14:paraId="7295AF3F" w14:textId="77777777" w:rsidR="002137B8" w:rsidRDefault="00DD246F" w:rsidP="00867EBC">
      <w:pPr>
        <w:numPr>
          <w:ilvl w:val="1"/>
          <w:numId w:val="18"/>
        </w:numPr>
        <w:spacing w:after="0"/>
        <w:ind w:left="1134" w:right="3" w:hanging="425"/>
      </w:pPr>
      <w:r>
        <w:t>Řepský hřbitov</w:t>
      </w:r>
    </w:p>
    <w:p w14:paraId="73710369" w14:textId="77777777" w:rsidR="002137B8" w:rsidRDefault="00DD246F" w:rsidP="00867EBC">
      <w:pPr>
        <w:numPr>
          <w:ilvl w:val="1"/>
          <w:numId w:val="18"/>
        </w:numPr>
        <w:spacing w:after="0"/>
        <w:ind w:left="1134" w:right="3" w:hanging="425"/>
      </w:pPr>
      <w:r>
        <w:t>Poliklinika Žufanova čp. 1113, 1114, Praha 6 – Řepy</w:t>
      </w:r>
    </w:p>
    <w:p w14:paraId="519CD957" w14:textId="77777777" w:rsidR="002137B8" w:rsidRDefault="00DD246F" w:rsidP="00867EBC">
      <w:pPr>
        <w:numPr>
          <w:ilvl w:val="1"/>
          <w:numId w:val="18"/>
        </w:numPr>
        <w:spacing w:after="0" w:line="259" w:lineRule="auto"/>
        <w:ind w:left="1134" w:right="3" w:hanging="425"/>
      </w:pPr>
      <w:r>
        <w:t>případné další místo plnění bude specifikováno v písemném dodatku smlouvy</w:t>
      </w:r>
    </w:p>
    <w:p w14:paraId="3D065621" w14:textId="77777777" w:rsidR="008B512A" w:rsidRDefault="008B512A" w:rsidP="008B512A">
      <w:pPr>
        <w:spacing w:after="0" w:line="240" w:lineRule="auto"/>
        <w:ind w:right="3"/>
      </w:pPr>
    </w:p>
    <w:p w14:paraId="146A29E1" w14:textId="707BC7A2" w:rsidR="002137B8" w:rsidRDefault="008B512A">
      <w:pPr>
        <w:pStyle w:val="Nadpis1"/>
        <w:spacing w:after="214"/>
        <w:ind w:left="1407" w:right="1404"/>
      </w:pPr>
      <w:r>
        <w:t>F</w:t>
      </w:r>
      <w:r w:rsidR="00DD246F">
        <w:t>. Fyzická ochrana osob (doprovod)</w:t>
      </w:r>
    </w:p>
    <w:p w14:paraId="47D55E73" w14:textId="57A67761" w:rsidR="002137B8" w:rsidRDefault="00DD246F">
      <w:pPr>
        <w:spacing w:after="696"/>
        <w:ind w:left="-5" w:right="3"/>
      </w:pPr>
      <w:r>
        <w:t>Doprovod bude prováděn v rámci ostrahy radnice Žalanského 291/</w:t>
      </w:r>
      <w:proofErr w:type="gramStart"/>
      <w:r>
        <w:t>12b</w:t>
      </w:r>
      <w:proofErr w:type="gramEnd"/>
      <w:r>
        <w:t>, Praha 17 – Řepy, a to dopravním prostředkem Úřadu MČ Praha 17, řidič z řad personálu úřadu.</w:t>
      </w:r>
    </w:p>
    <w:p w14:paraId="5F954714" w14:textId="77777777" w:rsidR="002137B8" w:rsidRDefault="00DD246F">
      <w:pPr>
        <w:pStyle w:val="Nadpis1"/>
        <w:ind w:left="1407" w:right="1403"/>
      </w:pPr>
      <w:r>
        <w:t>II. Rozsah a způsob plnění</w:t>
      </w:r>
    </w:p>
    <w:p w14:paraId="07FB4B34" w14:textId="6DD29918" w:rsidR="002137B8" w:rsidRDefault="00DD246F" w:rsidP="008B512A">
      <w:pPr>
        <w:numPr>
          <w:ilvl w:val="0"/>
          <w:numId w:val="8"/>
        </w:numPr>
        <w:spacing w:after="266"/>
        <w:ind w:left="426" w:right="3" w:hanging="426"/>
      </w:pPr>
      <w:r>
        <w:t>Poskytovatel zná podmínky a podklady zadání této veřejné zakázky, uznává je za rozhodující pro smluvní poměr, je seznámen s rozsahem prací, které bude realizovat.</w:t>
      </w:r>
    </w:p>
    <w:p w14:paraId="3D0D03E3" w14:textId="0B653E3D" w:rsidR="002137B8" w:rsidRDefault="00DD246F" w:rsidP="008B512A">
      <w:pPr>
        <w:numPr>
          <w:ilvl w:val="0"/>
          <w:numId w:val="8"/>
        </w:numPr>
        <w:spacing w:after="266"/>
        <w:ind w:left="426" w:right="3" w:hanging="426"/>
      </w:pPr>
      <w:r>
        <w:t>Poskytovatel se zavazuje zajistit plnění předmětu této smlouvy bezúhonnými</w:t>
      </w:r>
      <w:r w:rsidR="008B512A">
        <w:t xml:space="preserve"> </w:t>
      </w:r>
      <w:r>
        <w:t xml:space="preserve">a vyškolenými pracovníky. Bezúhonnost pracovníků musí být doložena výpisem z rejstříku trestů, který v době uzavření pracovní smlouvy s poskytovatelem nebyl starší než tři měsíce. Poskytovatel je povinen předložit tento výpis na vyžádání objednateli. </w:t>
      </w:r>
    </w:p>
    <w:p w14:paraId="38EBB2B7" w14:textId="00E772F6" w:rsidR="002137B8" w:rsidRDefault="00DD246F" w:rsidP="008B512A">
      <w:pPr>
        <w:numPr>
          <w:ilvl w:val="0"/>
          <w:numId w:val="8"/>
        </w:numPr>
        <w:ind w:left="426" w:right="3" w:hanging="426"/>
      </w:pPr>
      <w:r>
        <w:t>Zaměstnanci ostrahy budou odborně způsobilí v souladu se zákonem č. 455/1991 Sb. o živnostenském podnikání, ve znění pozdějších předpisů.</w:t>
      </w:r>
    </w:p>
    <w:p w14:paraId="4533DB57" w14:textId="4A31FD64" w:rsidR="002137B8" w:rsidRDefault="002137B8" w:rsidP="008B512A">
      <w:pPr>
        <w:spacing w:after="0" w:line="259" w:lineRule="auto"/>
        <w:ind w:left="426" w:hanging="426"/>
        <w:jc w:val="left"/>
      </w:pPr>
    </w:p>
    <w:p w14:paraId="71726FAB" w14:textId="77777777" w:rsidR="002137B8" w:rsidRDefault="00DD246F" w:rsidP="008B512A">
      <w:pPr>
        <w:numPr>
          <w:ilvl w:val="0"/>
          <w:numId w:val="8"/>
        </w:numPr>
        <w:spacing w:after="265"/>
        <w:ind w:left="426" w:right="3" w:hanging="426"/>
      </w:pPr>
      <w:r>
        <w:t xml:space="preserve">Všichni pracovníci poskytovatele budou vždy po celou dobu služby oděni do stejnokroje s označením firmy, viditelně umístěnou jmenovkou a vybaveni identifikačním průkazem, přenosnou radiostanicí, halogenovou svítilnou, snímačem čipů a obranným sprejem. Všechny uvedené technické pomůcky musí být po celou dobu výkonu služby plně funkční. </w:t>
      </w:r>
    </w:p>
    <w:p w14:paraId="4E32F5DF" w14:textId="77777777" w:rsidR="002137B8" w:rsidRDefault="00DD246F" w:rsidP="008B512A">
      <w:pPr>
        <w:numPr>
          <w:ilvl w:val="0"/>
          <w:numId w:val="8"/>
        </w:numPr>
        <w:ind w:left="426" w:right="3" w:hanging="426"/>
      </w:pPr>
      <w:r>
        <w:t>Pracovníci poskytovatele nesmí být v době služby ozbrojeni střelnou zbraní.</w:t>
      </w:r>
    </w:p>
    <w:p w14:paraId="1875FEF8" w14:textId="01C340A5" w:rsidR="008B512A" w:rsidRDefault="008B512A">
      <w:pPr>
        <w:spacing w:after="160" w:line="259" w:lineRule="auto"/>
        <w:ind w:left="0" w:firstLine="0"/>
        <w:jc w:val="left"/>
      </w:pPr>
      <w:r>
        <w:br w:type="page"/>
      </w:r>
    </w:p>
    <w:p w14:paraId="140F4481" w14:textId="41D10F1B" w:rsidR="002137B8" w:rsidRDefault="00DD246F">
      <w:pPr>
        <w:pStyle w:val="Nadpis1"/>
        <w:ind w:left="1407" w:right="1404"/>
      </w:pPr>
      <w:r>
        <w:lastRenderedPageBreak/>
        <w:t>III.</w:t>
      </w:r>
      <w:r w:rsidR="00952C29">
        <w:t xml:space="preserve"> </w:t>
      </w:r>
      <w:r>
        <w:t>Cena za služby</w:t>
      </w:r>
    </w:p>
    <w:p w14:paraId="28C3D032" w14:textId="444248C9" w:rsidR="002137B8" w:rsidRDefault="00DD246F" w:rsidP="00867EBC">
      <w:pPr>
        <w:pStyle w:val="Odstavecseseznamem"/>
        <w:numPr>
          <w:ilvl w:val="0"/>
          <w:numId w:val="21"/>
        </w:numPr>
        <w:spacing w:after="265"/>
        <w:ind w:left="426" w:right="3"/>
      </w:pPr>
      <w:r>
        <w:t xml:space="preserve">Celková cena za služby dle článku </w:t>
      </w:r>
      <w:r w:rsidR="006A6DFA">
        <w:t xml:space="preserve">I.A a </w:t>
      </w:r>
      <w:r>
        <w:t>I.B smlouvy se stanovuje podle počtu hodin odpracovaných poskytovatelem, přičemž cena za 1 odpracovanou hodinu se sjednává ve výši: v objektu Úřadu MČ Praha 17, Žalanského 291/</w:t>
      </w:r>
      <w:proofErr w:type="gramStart"/>
      <w:r>
        <w:t>12b</w:t>
      </w:r>
      <w:proofErr w:type="gramEnd"/>
      <w:r>
        <w:t xml:space="preserve"> </w:t>
      </w:r>
    </w:p>
    <w:tbl>
      <w:tblPr>
        <w:tblW w:w="0" w:type="auto"/>
        <w:tblInd w:w="5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1831"/>
        <w:gridCol w:w="2564"/>
      </w:tblGrid>
      <w:tr w:rsidR="00D42E91" w14:paraId="6821C2D0" w14:textId="3AD61859" w:rsidTr="00644AEE">
        <w:trPr>
          <w:trHeight w:val="265"/>
        </w:trPr>
        <w:tc>
          <w:tcPr>
            <w:tcW w:w="1831" w:type="dxa"/>
          </w:tcPr>
          <w:p w14:paraId="2F58437C" w14:textId="425B08BD" w:rsidR="00D42E91" w:rsidRDefault="00D42E91" w:rsidP="00D42E91">
            <w:pPr>
              <w:ind w:left="130" w:right="3"/>
            </w:pPr>
            <w:commentRangeStart w:id="1"/>
            <w:r>
              <w:t>Cena bez DPH:</w:t>
            </w:r>
          </w:p>
        </w:tc>
        <w:tc>
          <w:tcPr>
            <w:tcW w:w="2564" w:type="dxa"/>
          </w:tcPr>
          <w:p w14:paraId="4270ECE4" w14:textId="5BA22DB2" w:rsidR="00D42E91" w:rsidRPr="00D42E91" w:rsidRDefault="00D42E91" w:rsidP="00D42E91">
            <w:pPr>
              <w:ind w:left="130" w:right="3"/>
              <w:jc w:val="right"/>
              <w:rPr>
                <w:highlight w:val="yellow"/>
              </w:rPr>
            </w:pPr>
            <w:r w:rsidRPr="00D42E91">
              <w:rPr>
                <w:highlight w:val="yellow"/>
              </w:rPr>
              <w:t>………………Kč</w:t>
            </w:r>
          </w:p>
        </w:tc>
      </w:tr>
      <w:tr w:rsidR="00D42E91" w14:paraId="09567E47" w14:textId="61C36F9D" w:rsidTr="00644AEE">
        <w:trPr>
          <w:trHeight w:val="230"/>
        </w:trPr>
        <w:tc>
          <w:tcPr>
            <w:tcW w:w="1831" w:type="dxa"/>
          </w:tcPr>
          <w:p w14:paraId="32CD4ED8" w14:textId="64A83AE6" w:rsidR="00D42E91" w:rsidRDefault="00D42E91" w:rsidP="00D42E91">
            <w:pPr>
              <w:ind w:left="130" w:right="3"/>
            </w:pPr>
            <w:r>
              <w:t>DPH 21</w:t>
            </w:r>
            <w:r w:rsidR="006A6DFA">
              <w:t xml:space="preserve"> </w:t>
            </w:r>
            <w:r>
              <w:t>%:</w:t>
            </w:r>
          </w:p>
        </w:tc>
        <w:tc>
          <w:tcPr>
            <w:tcW w:w="2564" w:type="dxa"/>
          </w:tcPr>
          <w:p w14:paraId="219DD691" w14:textId="0F893492" w:rsidR="00D42E91" w:rsidRPr="00D42E91" w:rsidRDefault="00D42E91" w:rsidP="00D42E91">
            <w:pPr>
              <w:ind w:left="130" w:right="3"/>
              <w:jc w:val="right"/>
              <w:rPr>
                <w:highlight w:val="yellow"/>
              </w:rPr>
            </w:pPr>
            <w:r w:rsidRPr="00D42E91">
              <w:rPr>
                <w:highlight w:val="yellow"/>
              </w:rPr>
              <w:t>………………Kč</w:t>
            </w:r>
          </w:p>
        </w:tc>
      </w:tr>
      <w:tr w:rsidR="00D42E91" w14:paraId="13CFE13D" w14:textId="244CE074" w:rsidTr="00644AEE">
        <w:trPr>
          <w:trHeight w:val="357"/>
        </w:trPr>
        <w:tc>
          <w:tcPr>
            <w:tcW w:w="1831" w:type="dxa"/>
          </w:tcPr>
          <w:p w14:paraId="140B6289" w14:textId="3ABA5156" w:rsidR="00D42E91" w:rsidRDefault="00D42E91" w:rsidP="00D42E91">
            <w:pPr>
              <w:ind w:left="130" w:right="3"/>
            </w:pPr>
            <w:r>
              <w:t>Cena s DPH:</w:t>
            </w:r>
            <w:r w:rsidRPr="00D42E91">
              <w:t xml:space="preserve"> </w:t>
            </w:r>
          </w:p>
        </w:tc>
        <w:tc>
          <w:tcPr>
            <w:tcW w:w="2564" w:type="dxa"/>
          </w:tcPr>
          <w:p w14:paraId="344B81D5" w14:textId="0636390E" w:rsidR="00D42E91" w:rsidRPr="00D42E91" w:rsidRDefault="00D42E91" w:rsidP="00D42E91">
            <w:pPr>
              <w:ind w:left="130" w:right="3"/>
              <w:jc w:val="right"/>
              <w:rPr>
                <w:highlight w:val="yellow"/>
              </w:rPr>
            </w:pPr>
            <w:r w:rsidRPr="00D42E91">
              <w:rPr>
                <w:highlight w:val="yellow"/>
              </w:rPr>
              <w:t>………………Kč</w:t>
            </w:r>
          </w:p>
        </w:tc>
      </w:tr>
    </w:tbl>
    <w:p w14:paraId="60F3AB54" w14:textId="77777777" w:rsidR="00D42E91" w:rsidRDefault="00D42E91" w:rsidP="00D42E91">
      <w:pPr>
        <w:spacing w:after="0" w:line="240" w:lineRule="auto"/>
        <w:ind w:left="436" w:right="3"/>
      </w:pPr>
    </w:p>
    <w:p w14:paraId="45C1FA1E" w14:textId="3DEF244E" w:rsidR="002137B8" w:rsidRDefault="00DD246F">
      <w:pPr>
        <w:spacing w:after="266"/>
        <w:ind w:left="436" w:right="3"/>
      </w:pPr>
      <w:r>
        <w:t>Cena za hlídkovou činnost dle článku I.C smlouvy se stanovuje dle počtu dnů odpracovaných poskytovatelem, přičemž cena za 1 hlídkovou činnost, vč. dopravného se sjednává ve výši:</w:t>
      </w:r>
    </w:p>
    <w:tbl>
      <w:tblPr>
        <w:tblW w:w="0" w:type="auto"/>
        <w:tblInd w:w="5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1831"/>
        <w:gridCol w:w="2564"/>
      </w:tblGrid>
      <w:tr w:rsidR="00D42E91" w14:paraId="6FD1E0D8" w14:textId="77777777" w:rsidTr="00644AEE">
        <w:trPr>
          <w:trHeight w:val="265"/>
        </w:trPr>
        <w:tc>
          <w:tcPr>
            <w:tcW w:w="1831" w:type="dxa"/>
          </w:tcPr>
          <w:p w14:paraId="5A7F1D9E" w14:textId="77777777" w:rsidR="00D42E91" w:rsidRDefault="00D42E91" w:rsidP="00E23D28">
            <w:pPr>
              <w:ind w:left="130" w:right="3"/>
            </w:pPr>
            <w:r>
              <w:t>Cena bez DPH:</w:t>
            </w:r>
          </w:p>
        </w:tc>
        <w:tc>
          <w:tcPr>
            <w:tcW w:w="2564" w:type="dxa"/>
          </w:tcPr>
          <w:p w14:paraId="59A025AA" w14:textId="77777777" w:rsidR="00D42E91" w:rsidRPr="00D42E91" w:rsidRDefault="00D42E91" w:rsidP="00E23D28">
            <w:pPr>
              <w:ind w:left="130" w:right="3"/>
              <w:jc w:val="right"/>
              <w:rPr>
                <w:highlight w:val="yellow"/>
              </w:rPr>
            </w:pPr>
            <w:r w:rsidRPr="00D42E91">
              <w:rPr>
                <w:highlight w:val="yellow"/>
              </w:rPr>
              <w:t>………………Kč</w:t>
            </w:r>
          </w:p>
        </w:tc>
      </w:tr>
      <w:tr w:rsidR="00D42E91" w14:paraId="785D96E6" w14:textId="77777777" w:rsidTr="00644AEE">
        <w:trPr>
          <w:trHeight w:val="230"/>
        </w:trPr>
        <w:tc>
          <w:tcPr>
            <w:tcW w:w="1831" w:type="dxa"/>
          </w:tcPr>
          <w:p w14:paraId="61ABA27F" w14:textId="24E86E69" w:rsidR="00D42E91" w:rsidRDefault="00D42E91" w:rsidP="00E23D28">
            <w:pPr>
              <w:ind w:left="130" w:right="3"/>
            </w:pPr>
            <w:r>
              <w:t>DPH 21</w:t>
            </w:r>
            <w:r w:rsidR="006A6DFA">
              <w:t xml:space="preserve"> </w:t>
            </w:r>
            <w:r>
              <w:t>%:</w:t>
            </w:r>
          </w:p>
        </w:tc>
        <w:tc>
          <w:tcPr>
            <w:tcW w:w="2564" w:type="dxa"/>
          </w:tcPr>
          <w:p w14:paraId="1085CEDC" w14:textId="77777777" w:rsidR="00D42E91" w:rsidRPr="00D42E91" w:rsidRDefault="00D42E91" w:rsidP="00E23D28">
            <w:pPr>
              <w:ind w:left="130" w:right="3"/>
              <w:jc w:val="right"/>
              <w:rPr>
                <w:highlight w:val="yellow"/>
              </w:rPr>
            </w:pPr>
            <w:r w:rsidRPr="00D42E91">
              <w:rPr>
                <w:highlight w:val="yellow"/>
              </w:rPr>
              <w:t>………………Kč</w:t>
            </w:r>
          </w:p>
        </w:tc>
      </w:tr>
      <w:tr w:rsidR="00D42E91" w14:paraId="5EBB3CA8" w14:textId="77777777" w:rsidTr="00644AEE">
        <w:trPr>
          <w:trHeight w:val="357"/>
        </w:trPr>
        <w:tc>
          <w:tcPr>
            <w:tcW w:w="1831" w:type="dxa"/>
          </w:tcPr>
          <w:p w14:paraId="3972F29C" w14:textId="77777777" w:rsidR="00D42E91" w:rsidRDefault="00D42E91" w:rsidP="00E23D28">
            <w:pPr>
              <w:ind w:left="130" w:right="3"/>
            </w:pPr>
            <w:r>
              <w:t>Cena s DPH:</w:t>
            </w:r>
            <w:r w:rsidRPr="00D42E91">
              <w:t xml:space="preserve"> </w:t>
            </w:r>
          </w:p>
        </w:tc>
        <w:tc>
          <w:tcPr>
            <w:tcW w:w="2564" w:type="dxa"/>
          </w:tcPr>
          <w:p w14:paraId="09D22AA9" w14:textId="77777777" w:rsidR="00D42E91" w:rsidRPr="00D42E91" w:rsidRDefault="00D42E91" w:rsidP="00E23D28">
            <w:pPr>
              <w:ind w:left="130" w:right="3"/>
              <w:jc w:val="right"/>
              <w:rPr>
                <w:highlight w:val="yellow"/>
              </w:rPr>
            </w:pPr>
            <w:r w:rsidRPr="00D42E91">
              <w:rPr>
                <w:highlight w:val="yellow"/>
              </w:rPr>
              <w:t>………………Kč</w:t>
            </w:r>
          </w:p>
        </w:tc>
      </w:tr>
    </w:tbl>
    <w:commentRangeEnd w:id="1"/>
    <w:p w14:paraId="378979DC" w14:textId="77777777" w:rsidR="00D42E91" w:rsidRPr="00D42E91" w:rsidRDefault="00B10C2C">
      <w:pPr>
        <w:spacing w:after="266"/>
        <w:ind w:left="436" w:right="3"/>
      </w:pPr>
      <w:r>
        <w:rPr>
          <w:rStyle w:val="Odkaznakoment"/>
        </w:rPr>
        <w:commentReference w:id="1"/>
      </w:r>
    </w:p>
    <w:p w14:paraId="0FFCD9E4" w14:textId="77777777" w:rsidR="002137B8" w:rsidRDefault="00DD246F">
      <w:pPr>
        <w:numPr>
          <w:ilvl w:val="0"/>
          <w:numId w:val="9"/>
        </w:numPr>
        <w:ind w:right="3" w:hanging="360"/>
      </w:pPr>
      <w:r>
        <w:t>Výše uváděné ceny jsou nejvýše přípustné a nepřekročitelné a obsahují veškeré náklady spojené s komplexním prováděním předmětu zakázky (včetně zaškolování pracovníků dodavatele) a zohledňují veškerá rizika a vlivy během realizace plnění s výjimkou změny sazby DPH.</w:t>
      </w:r>
    </w:p>
    <w:p w14:paraId="723FB121" w14:textId="77777777" w:rsidR="002137B8" w:rsidRDefault="00DD246F">
      <w:pPr>
        <w:numPr>
          <w:ilvl w:val="0"/>
          <w:numId w:val="9"/>
        </w:numPr>
        <w:spacing w:after="265"/>
        <w:ind w:right="3" w:hanging="360"/>
      </w:pPr>
      <w:r>
        <w:t>Poskytovatel je povinen po vzniku práva fakturovat, tj. po uplynutí příslušného kalendářního měsíce, vystavit a nejpozději do 10 dnů objednateli doručit daňový doklad (fakturu) za skutečně poskytnuté a pověřenou osobou objednatele potvrzené služby, ve dvojím vyhotovení s rozepsáním jednotlivých položek podle § 29 zák. č. 235/2004 Sb., o dani z přidané hodnoty, ve znění pozdějších předpisů.</w:t>
      </w:r>
    </w:p>
    <w:p w14:paraId="107B2CC3" w14:textId="77777777" w:rsidR="002137B8" w:rsidRDefault="00DD246F">
      <w:pPr>
        <w:numPr>
          <w:ilvl w:val="0"/>
          <w:numId w:val="9"/>
        </w:numPr>
        <w:spacing w:after="265"/>
        <w:ind w:right="3" w:hanging="360"/>
      </w:pPr>
      <w:r>
        <w:t>Objednatel je povinen uhradit fakturovanou částku u peněžního ústavu poskytovatele do 21 kalendářních dnů ode dne doručení faktury objednateli na adresu uvedenou v záhlaví této smlouvy.</w:t>
      </w:r>
    </w:p>
    <w:p w14:paraId="6070EC5C" w14:textId="77777777" w:rsidR="002137B8" w:rsidRDefault="00DD246F">
      <w:pPr>
        <w:numPr>
          <w:ilvl w:val="0"/>
          <w:numId w:val="9"/>
        </w:numPr>
        <w:spacing w:after="265"/>
        <w:ind w:right="3" w:hanging="360"/>
      </w:pPr>
      <w:r>
        <w:t>Uhrazením smluvní ceny se rozumí odepsání částky z účtu objednatele a její směrování na účet poskytovatele.</w:t>
      </w:r>
    </w:p>
    <w:p w14:paraId="6728761D" w14:textId="77777777" w:rsidR="002137B8" w:rsidRDefault="00DD246F">
      <w:pPr>
        <w:numPr>
          <w:ilvl w:val="0"/>
          <w:numId w:val="9"/>
        </w:numPr>
        <w:ind w:right="3" w:hanging="360"/>
      </w:pPr>
      <w:r>
        <w:t>Faktury poskytovatele musí obsahovat tyto náležitosti:</w:t>
      </w:r>
    </w:p>
    <w:p w14:paraId="16481792" w14:textId="77777777" w:rsidR="002137B8" w:rsidRDefault="00DD246F" w:rsidP="008B512A">
      <w:pPr>
        <w:numPr>
          <w:ilvl w:val="1"/>
          <w:numId w:val="9"/>
        </w:numPr>
        <w:spacing w:after="0" w:line="259" w:lineRule="auto"/>
        <w:ind w:left="993" w:right="3" w:hanging="360"/>
      </w:pPr>
      <w:r>
        <w:t>Označení a pořadové číslo faktury</w:t>
      </w:r>
    </w:p>
    <w:p w14:paraId="66BCF821" w14:textId="77777777" w:rsidR="002137B8" w:rsidRDefault="00DD246F" w:rsidP="008B512A">
      <w:pPr>
        <w:numPr>
          <w:ilvl w:val="1"/>
          <w:numId w:val="9"/>
        </w:numPr>
        <w:ind w:left="993" w:right="3" w:hanging="360"/>
      </w:pPr>
      <w:r>
        <w:t>Číslo smlouvy objednatele</w:t>
      </w:r>
    </w:p>
    <w:p w14:paraId="7A87FDC0" w14:textId="04713218" w:rsidR="002137B8" w:rsidRDefault="00DD246F" w:rsidP="008B512A">
      <w:pPr>
        <w:numPr>
          <w:ilvl w:val="1"/>
          <w:numId w:val="9"/>
        </w:numPr>
        <w:ind w:left="993" w:right="3" w:hanging="360"/>
      </w:pPr>
      <w:r>
        <w:t>Název, sídlo a registrační čísla (IČ,</w:t>
      </w:r>
      <w:r w:rsidR="00952C29">
        <w:t xml:space="preserve"> </w:t>
      </w:r>
      <w:r>
        <w:t>DIČ) smluvních stran</w:t>
      </w:r>
    </w:p>
    <w:p w14:paraId="4E1EA0F1" w14:textId="77777777" w:rsidR="002137B8" w:rsidRDefault="00DD246F" w:rsidP="008B512A">
      <w:pPr>
        <w:numPr>
          <w:ilvl w:val="1"/>
          <w:numId w:val="9"/>
        </w:numPr>
        <w:ind w:left="993" w:right="3" w:hanging="360"/>
      </w:pPr>
      <w:r>
        <w:t>Údaj o zápisu firmy v OR</w:t>
      </w:r>
    </w:p>
    <w:p w14:paraId="08111080" w14:textId="4E018C49" w:rsidR="002137B8" w:rsidRDefault="00DD246F" w:rsidP="008B512A">
      <w:pPr>
        <w:numPr>
          <w:ilvl w:val="1"/>
          <w:numId w:val="9"/>
        </w:numPr>
        <w:ind w:left="993" w:right="3" w:hanging="360"/>
      </w:pPr>
      <w:r>
        <w:t xml:space="preserve">Bankovní </w:t>
      </w:r>
      <w:r w:rsidR="00952C29">
        <w:t>spojení – číslo</w:t>
      </w:r>
      <w:r>
        <w:t xml:space="preserve"> účtu</w:t>
      </w:r>
    </w:p>
    <w:p w14:paraId="11B2B4E7" w14:textId="77777777" w:rsidR="002137B8" w:rsidRDefault="00DD246F" w:rsidP="008B512A">
      <w:pPr>
        <w:numPr>
          <w:ilvl w:val="1"/>
          <w:numId w:val="9"/>
        </w:numPr>
        <w:spacing w:after="0" w:line="259" w:lineRule="auto"/>
        <w:ind w:left="993" w:right="3" w:hanging="360"/>
      </w:pPr>
      <w:r>
        <w:t>Předmět a rozsah provedených služeb</w:t>
      </w:r>
    </w:p>
    <w:p w14:paraId="0FD2B074" w14:textId="77777777" w:rsidR="002137B8" w:rsidRDefault="00DD246F" w:rsidP="008B512A">
      <w:pPr>
        <w:numPr>
          <w:ilvl w:val="1"/>
          <w:numId w:val="9"/>
        </w:numPr>
        <w:ind w:left="993" w:right="3" w:hanging="360"/>
      </w:pPr>
      <w:r>
        <w:t>Cena bez DPH</w:t>
      </w:r>
    </w:p>
    <w:p w14:paraId="20C7FDE7" w14:textId="77777777" w:rsidR="002137B8" w:rsidRDefault="00DD246F" w:rsidP="008B512A">
      <w:pPr>
        <w:numPr>
          <w:ilvl w:val="1"/>
          <w:numId w:val="9"/>
        </w:numPr>
        <w:ind w:left="993" w:right="3" w:hanging="360"/>
      </w:pPr>
      <w:r>
        <w:t>Sazba daně a daň</w:t>
      </w:r>
    </w:p>
    <w:p w14:paraId="33643D64" w14:textId="77777777" w:rsidR="002137B8" w:rsidRDefault="00DD246F" w:rsidP="008B512A">
      <w:pPr>
        <w:numPr>
          <w:ilvl w:val="1"/>
          <w:numId w:val="9"/>
        </w:numPr>
        <w:ind w:left="993" w:right="3" w:hanging="360"/>
      </w:pPr>
      <w:r>
        <w:t>Celková částka k úhradě</w:t>
      </w:r>
    </w:p>
    <w:p w14:paraId="27940131" w14:textId="77777777" w:rsidR="002137B8" w:rsidRDefault="00DD246F" w:rsidP="008B512A">
      <w:pPr>
        <w:numPr>
          <w:ilvl w:val="1"/>
          <w:numId w:val="9"/>
        </w:numPr>
        <w:ind w:left="993" w:right="3" w:hanging="360"/>
      </w:pPr>
      <w:r>
        <w:t>Datum vyhotovení, odeslání, doba splatnosti, datum zdanitelného plnění</w:t>
      </w:r>
    </w:p>
    <w:p w14:paraId="73FE82CC" w14:textId="77777777" w:rsidR="002137B8" w:rsidRDefault="00DD246F" w:rsidP="008B512A">
      <w:pPr>
        <w:numPr>
          <w:ilvl w:val="1"/>
          <w:numId w:val="9"/>
        </w:numPr>
        <w:ind w:left="993" w:right="3" w:hanging="360"/>
      </w:pPr>
      <w:r>
        <w:lastRenderedPageBreak/>
        <w:t>Razítko a podpis</w:t>
      </w:r>
    </w:p>
    <w:p w14:paraId="05ECCFB0" w14:textId="77777777" w:rsidR="002137B8" w:rsidRDefault="00DD246F" w:rsidP="008B512A">
      <w:pPr>
        <w:numPr>
          <w:ilvl w:val="1"/>
          <w:numId w:val="9"/>
        </w:numPr>
        <w:spacing w:after="269"/>
        <w:ind w:left="993" w:right="3" w:hanging="360"/>
      </w:pPr>
      <w:r>
        <w:t>Přílohou bude zjišťovací protokol skutečně provedených služeb</w:t>
      </w:r>
    </w:p>
    <w:p w14:paraId="68E844EA" w14:textId="77777777" w:rsidR="002137B8" w:rsidRDefault="00DD246F">
      <w:pPr>
        <w:numPr>
          <w:ilvl w:val="0"/>
          <w:numId w:val="9"/>
        </w:numPr>
        <w:spacing w:after="265"/>
        <w:ind w:right="3" w:hanging="360"/>
      </w:pPr>
      <w:r>
        <w:t>V případě, že faktura nebude vystavena v souladu s tuto smlouvou a nebude obsahovat náležitosti ve smlouvě uvedené, objednatel je oprávněn ji vrátit poskytovateli k přepracování a doplnění, v takovém případě začíná běžet nová lhůta splatnosti dnem doručení opravené a schválené faktury.</w:t>
      </w:r>
    </w:p>
    <w:p w14:paraId="31A8A4C4" w14:textId="77777777" w:rsidR="002137B8" w:rsidRDefault="00DD246F" w:rsidP="00D42E91">
      <w:pPr>
        <w:numPr>
          <w:ilvl w:val="0"/>
          <w:numId w:val="9"/>
        </w:numPr>
        <w:ind w:right="3" w:hanging="360"/>
      </w:pPr>
      <w:r>
        <w:t>Vzájemné pohledávky mohou být řešeny zápočtem mezi oběma smluvními stranami</w:t>
      </w:r>
    </w:p>
    <w:p w14:paraId="2DC5D24A" w14:textId="77777777" w:rsidR="002137B8" w:rsidRDefault="00DD246F" w:rsidP="00D42E91">
      <w:pPr>
        <w:pStyle w:val="Nadpis1"/>
        <w:spacing w:before="240"/>
        <w:ind w:left="1407" w:right="1406"/>
      </w:pPr>
      <w:r>
        <w:t>IV. Povinnosti poskytovatele</w:t>
      </w:r>
    </w:p>
    <w:p w14:paraId="1921279E" w14:textId="77777777" w:rsidR="002137B8" w:rsidRDefault="00DD246F">
      <w:pPr>
        <w:numPr>
          <w:ilvl w:val="0"/>
          <w:numId w:val="10"/>
        </w:numPr>
        <w:ind w:right="3" w:hanging="284"/>
      </w:pPr>
      <w:r>
        <w:t>Poskytovatel se zavazuje:</w:t>
      </w:r>
    </w:p>
    <w:p w14:paraId="27F99DDC" w14:textId="77777777" w:rsidR="002137B8" w:rsidRDefault="00DD246F" w:rsidP="00D42E91">
      <w:pPr>
        <w:numPr>
          <w:ilvl w:val="1"/>
          <w:numId w:val="10"/>
        </w:numPr>
        <w:ind w:left="709" w:right="3" w:hanging="360"/>
      </w:pPr>
      <w:r>
        <w:t xml:space="preserve">provádět fyzickou ostrahu, ochranu osob a majetku objednatele na vysoké profesionální úrovni. </w:t>
      </w:r>
    </w:p>
    <w:p w14:paraId="2E29C303" w14:textId="77777777" w:rsidR="002137B8" w:rsidRDefault="00DD246F" w:rsidP="00D42E91">
      <w:pPr>
        <w:numPr>
          <w:ilvl w:val="1"/>
          <w:numId w:val="10"/>
        </w:numPr>
        <w:ind w:left="709" w:right="3" w:hanging="360"/>
      </w:pPr>
      <w:r>
        <w:t xml:space="preserve">ostrahu vykonávat dle všeobecně závazných právních předpisů, řádně a kvalifikovaně. Vždy dodržovat zásady slušného chování a chránit majetek objednatele v souladu s interními předpisy objednatele (evakuační plány, návštěvní řády, pokyny a další). </w:t>
      </w:r>
    </w:p>
    <w:p w14:paraId="132B0583" w14:textId="77777777" w:rsidR="002137B8" w:rsidRDefault="00DD246F" w:rsidP="00D42E91">
      <w:pPr>
        <w:numPr>
          <w:ilvl w:val="1"/>
          <w:numId w:val="10"/>
        </w:numPr>
        <w:ind w:left="709" w:right="3" w:hanging="360"/>
      </w:pPr>
      <w:r>
        <w:t>Plně respektovat veškeré technické kontrolní prostředky objednatele, mimo jiné bezpečnostní dohledový kamerový systém, pokud bude zřízen.</w:t>
      </w:r>
    </w:p>
    <w:p w14:paraId="747F27A3" w14:textId="77777777" w:rsidR="002137B8" w:rsidRDefault="00DD246F" w:rsidP="00D42E91">
      <w:pPr>
        <w:numPr>
          <w:ilvl w:val="1"/>
          <w:numId w:val="10"/>
        </w:numPr>
        <w:ind w:left="709" w:right="3" w:hanging="360"/>
      </w:pPr>
      <w:r>
        <w:t xml:space="preserve">Při výkonu služby uplatňovat plnění protipožárních předpisů. Písemně upozorňovat objednatele na stav, který ohrožuje bezpečnost osob nebo majetku a v případech, které nesnesou odklad, provést v nezbytném rozsahu adekvátní účinná opatření a odborný zásah a ihned vyrozumět objednatele.  </w:t>
      </w:r>
    </w:p>
    <w:p w14:paraId="4D208922" w14:textId="77777777" w:rsidR="002137B8" w:rsidRDefault="00DD246F" w:rsidP="00D42E91">
      <w:pPr>
        <w:numPr>
          <w:ilvl w:val="1"/>
          <w:numId w:val="10"/>
        </w:numPr>
        <w:ind w:left="709" w:right="3" w:hanging="360"/>
      </w:pPr>
      <w:r>
        <w:t xml:space="preserve">Operativně řešit s pověřenou osobou objednatele kvalitu poskytovaných služeb, včetně návrhů opatření na jejich zlepšení.  </w:t>
      </w:r>
    </w:p>
    <w:p w14:paraId="7439ACFF" w14:textId="77777777" w:rsidR="002137B8" w:rsidRDefault="00DD246F" w:rsidP="00D42E91">
      <w:pPr>
        <w:numPr>
          <w:ilvl w:val="1"/>
          <w:numId w:val="10"/>
        </w:numPr>
        <w:ind w:left="709" w:right="3" w:hanging="360"/>
      </w:pPr>
      <w:r>
        <w:t>Neponechávat strážce ve službě déle než 12 po sobě jdoucích hodin.</w:t>
      </w:r>
    </w:p>
    <w:p w14:paraId="63AEB60F" w14:textId="77777777" w:rsidR="002137B8" w:rsidRDefault="00DD246F" w:rsidP="00D42E91">
      <w:pPr>
        <w:numPr>
          <w:ilvl w:val="1"/>
          <w:numId w:val="10"/>
        </w:numPr>
        <w:ind w:left="709" w:right="3" w:hanging="360"/>
      </w:pPr>
      <w:r>
        <w:t xml:space="preserve">K povinnému zachovávání mlčenlivosti před nepovolanými osobami o všech skutečnostech týkajících se objednatele a o informacích získaných v souvislosti s výkonem služby. </w:t>
      </w:r>
    </w:p>
    <w:p w14:paraId="408B4E5E" w14:textId="77777777" w:rsidR="002137B8" w:rsidRDefault="00DD246F" w:rsidP="00D42E91">
      <w:pPr>
        <w:numPr>
          <w:ilvl w:val="1"/>
          <w:numId w:val="10"/>
        </w:numPr>
        <w:ind w:left="709" w:right="3" w:hanging="360"/>
      </w:pPr>
      <w:r>
        <w:t xml:space="preserve">V případě, že bude nezbytné, aby některé informace obdržela třetí osoba, je oprávněná osoba poskytovatele povinna písemně požádat o souhlas objednatele předtím, než s uvedenou informací nebo skutečností třetí osobu seznámí.  </w:t>
      </w:r>
    </w:p>
    <w:p w14:paraId="3B4A3BB9" w14:textId="77777777" w:rsidR="002137B8" w:rsidRDefault="00DD246F" w:rsidP="00D42E91">
      <w:pPr>
        <w:numPr>
          <w:ilvl w:val="1"/>
          <w:numId w:val="10"/>
        </w:numPr>
        <w:ind w:left="709" w:right="3" w:hanging="360"/>
      </w:pPr>
      <w:r>
        <w:t>Písemně seznámit objednatele se způsobem řešení mimořádných situací (přepadení, vloupání, krádež atp.).</w:t>
      </w:r>
    </w:p>
    <w:p w14:paraId="29E1FE4D" w14:textId="77777777" w:rsidR="002137B8" w:rsidRDefault="00DD246F" w:rsidP="00D42E91">
      <w:pPr>
        <w:numPr>
          <w:ilvl w:val="1"/>
          <w:numId w:val="10"/>
        </w:numPr>
        <w:ind w:left="709" w:right="3" w:hanging="360"/>
      </w:pPr>
      <w:r>
        <w:t>Zajistit komunikační systém strážců s vedením poskytovatele.</w:t>
      </w:r>
    </w:p>
    <w:p w14:paraId="5DE59E7F" w14:textId="77777777" w:rsidR="002137B8" w:rsidRDefault="00DD246F" w:rsidP="00D42E91">
      <w:pPr>
        <w:numPr>
          <w:ilvl w:val="1"/>
          <w:numId w:val="10"/>
        </w:numPr>
        <w:ind w:left="709" w:right="3" w:hanging="360"/>
      </w:pPr>
      <w:r>
        <w:t>V objektech objednatele pravidelně sledovat a vyhodnocovat úroveň a kvalitu bezpečnostní služby a objednatele s výsledkem pravidelně seznamovat.</w:t>
      </w:r>
    </w:p>
    <w:p w14:paraId="4CFE55C3" w14:textId="77777777" w:rsidR="002137B8" w:rsidRDefault="00DD246F" w:rsidP="00D42E91">
      <w:pPr>
        <w:numPr>
          <w:ilvl w:val="1"/>
          <w:numId w:val="10"/>
        </w:numPr>
        <w:ind w:left="709" w:right="3" w:hanging="360"/>
      </w:pPr>
      <w:r>
        <w:t>Postupovat v souladu s provozně bezpečnostním a organizačním řádem, který bude vzájemně odsouhlasen zástupcem poskytovatele a zástupcem ve věcech technických objednatele.</w:t>
      </w:r>
    </w:p>
    <w:p w14:paraId="542CFBB2" w14:textId="77777777" w:rsidR="002137B8" w:rsidRDefault="00DD246F" w:rsidP="00D42E91">
      <w:pPr>
        <w:numPr>
          <w:ilvl w:val="1"/>
          <w:numId w:val="10"/>
        </w:numPr>
        <w:spacing w:after="269"/>
        <w:ind w:left="709" w:right="3" w:hanging="360"/>
      </w:pPr>
      <w:r>
        <w:t xml:space="preserve">Poskytovatel je povinen vést knihu událostí. </w:t>
      </w:r>
    </w:p>
    <w:p w14:paraId="5CC0BE0B" w14:textId="77777777" w:rsidR="002137B8" w:rsidRDefault="00DD246F">
      <w:pPr>
        <w:numPr>
          <w:ilvl w:val="0"/>
          <w:numId w:val="10"/>
        </w:numPr>
        <w:spacing w:after="662"/>
        <w:ind w:right="3" w:hanging="284"/>
      </w:pPr>
      <w:r>
        <w:t>Pracovníci poskytovatele jsou povinni dbát pokynů oprávněných zástupců objednatele dle článku IX. smlouvy.</w:t>
      </w:r>
    </w:p>
    <w:p w14:paraId="694798CA" w14:textId="77777777" w:rsidR="002137B8" w:rsidRDefault="00DD246F">
      <w:pPr>
        <w:pStyle w:val="Nadpis1"/>
        <w:ind w:left="1407" w:right="1404"/>
      </w:pPr>
      <w:r>
        <w:lastRenderedPageBreak/>
        <w:t>V. Práva a povinnosti objednatele</w:t>
      </w:r>
    </w:p>
    <w:p w14:paraId="7ABD73B1" w14:textId="77777777" w:rsidR="002137B8" w:rsidRDefault="00DD246F">
      <w:pPr>
        <w:numPr>
          <w:ilvl w:val="0"/>
          <w:numId w:val="11"/>
        </w:numPr>
        <w:ind w:right="3" w:hanging="360"/>
      </w:pPr>
      <w:r>
        <w:t>Projednat s poskytovatelem obsahovou náplň výkonu služby a poskytnout mu potřebné informace související s ostrahou daného objektu.</w:t>
      </w:r>
    </w:p>
    <w:p w14:paraId="510C463C" w14:textId="77777777" w:rsidR="002137B8" w:rsidRDefault="00DD246F">
      <w:pPr>
        <w:numPr>
          <w:ilvl w:val="0"/>
          <w:numId w:val="11"/>
        </w:numPr>
        <w:ind w:right="3" w:hanging="360"/>
      </w:pPr>
      <w:r>
        <w:t>Vytvořit pracovníkům poskytovatele podmínky pro výkon služby včetně zajištění základních hygienických potřeb a prostoru na přestávku v práci.</w:t>
      </w:r>
    </w:p>
    <w:p w14:paraId="5EEF4C3A" w14:textId="77777777" w:rsidR="002137B8" w:rsidRDefault="00DD246F">
      <w:pPr>
        <w:numPr>
          <w:ilvl w:val="0"/>
          <w:numId w:val="11"/>
        </w:numPr>
        <w:ind w:right="3" w:hanging="360"/>
      </w:pPr>
      <w:r>
        <w:t>Objednatel je oprávněn kdykoliv provádět kontrolu poskytovaných služeb. Zjištěné závady budou konzultovány se zástupcem poskytovatele a bude sjednán způsob nápravy. Je oprávněn neodsouhlasit pracovníky, kteří jsou poskytovatelem určeny k výkonu předmětu plnění.</w:t>
      </w:r>
    </w:p>
    <w:p w14:paraId="1D4C4482" w14:textId="77777777" w:rsidR="002137B8" w:rsidRDefault="00DD246F">
      <w:pPr>
        <w:numPr>
          <w:ilvl w:val="0"/>
          <w:numId w:val="11"/>
        </w:numPr>
        <w:ind w:right="3" w:hanging="360"/>
      </w:pPr>
      <w:r>
        <w:t>Objednatel po podpisu smlouvy předá zástupcům poskytovatele informace související s výkonem služby. Předání informací dalším pracovníkům, a to po celou dobu plnění smlouvy, provádí již sám poskytovatel.</w:t>
      </w:r>
    </w:p>
    <w:p w14:paraId="11ECF73C" w14:textId="77777777" w:rsidR="002137B8" w:rsidRDefault="00DD246F">
      <w:pPr>
        <w:numPr>
          <w:ilvl w:val="0"/>
          <w:numId w:val="11"/>
        </w:numPr>
        <w:ind w:right="3" w:hanging="360"/>
      </w:pPr>
      <w:r>
        <w:t>Je-li to potřebné, objednatel poskytovateli zajistí řádné školení na zařízeních v daných objektech dle článku I. odstavce A. smlouvy u svých smluvních servisních firem.</w:t>
      </w:r>
    </w:p>
    <w:p w14:paraId="4AD581A0" w14:textId="77777777" w:rsidR="002137B8" w:rsidRDefault="00DD246F">
      <w:pPr>
        <w:numPr>
          <w:ilvl w:val="0"/>
          <w:numId w:val="11"/>
        </w:numPr>
        <w:ind w:right="3" w:hanging="360"/>
      </w:pPr>
      <w:r>
        <w:t xml:space="preserve">Objednatel má právo na každém jednotlivém objektu dle článku I., odstavec A. smlouvy, nepožadovat výkon předmětu plnění v rozsahu až 30 dnů v roce. Tyto dny zadavatel oznámí poskytovateli nejméně 2 pracovní dny předem. </w:t>
      </w:r>
    </w:p>
    <w:p w14:paraId="05FB2EAA" w14:textId="2170F62A" w:rsidR="008B512A" w:rsidRDefault="00DD246F" w:rsidP="00D42E91">
      <w:pPr>
        <w:numPr>
          <w:ilvl w:val="0"/>
          <w:numId w:val="11"/>
        </w:numPr>
        <w:ind w:right="3" w:hanging="360"/>
      </w:pPr>
      <w:r>
        <w:t>Objednatel má právo nepožadovat předmět plnění i více dnů v roce nad rámec odst. 6. tohoto článku v případě rekonstrukce budov, havárií nebo jiných závažných skutečností, jejichž důsledkem bude uzavření objektu.</w:t>
      </w:r>
    </w:p>
    <w:p w14:paraId="12F420AD" w14:textId="4E1D2517" w:rsidR="002137B8" w:rsidRDefault="00DD246F" w:rsidP="00D42E91">
      <w:pPr>
        <w:pStyle w:val="Nadpis1"/>
        <w:spacing w:before="240"/>
        <w:ind w:left="1407" w:right="1407"/>
      </w:pPr>
      <w:r>
        <w:t>VI.</w:t>
      </w:r>
      <w:r w:rsidR="00D42E91">
        <w:t xml:space="preserve"> </w:t>
      </w:r>
      <w:r>
        <w:t>Odpovědnost za vadné plnění a náhrada škody</w:t>
      </w:r>
    </w:p>
    <w:p w14:paraId="3A9652E8" w14:textId="77777777" w:rsidR="002137B8" w:rsidRDefault="00DD246F">
      <w:pPr>
        <w:numPr>
          <w:ilvl w:val="0"/>
          <w:numId w:val="12"/>
        </w:numPr>
        <w:ind w:right="3" w:hanging="360"/>
      </w:pPr>
      <w:r>
        <w:t xml:space="preserve">Pokud dojde ze strany poskytovatele, resp. strážného při výkonu služby k neplnění smluvního závazku spočívající v porušení této smlouvy nebo interních předpisů, má objednatel právo žádat výměnu osoby (osob), která svoje povinnosti řádně neplnila. Nebude-li tato výměna zajištěna v nejkratším možném termínu, nejpozději však do 8 hodin od vznesení námitky, bude tato skutečnost považována za hrubé porušení této smlouvy. Objednatel upozorní písemně, faxem nebo e-mailem, na porušení smluvního závazku poskytovatele, v neodkladných případech telefonicky. V upozornění uvede konkrétní porušení povinností strážného, resp. poskytovatele a navrhne požadované opatření. Právo na náhradu škody není tímto dotčeno. </w:t>
      </w:r>
    </w:p>
    <w:p w14:paraId="33F761C1" w14:textId="77777777" w:rsidR="002137B8" w:rsidRDefault="00DD246F">
      <w:pPr>
        <w:numPr>
          <w:ilvl w:val="0"/>
          <w:numId w:val="12"/>
        </w:numPr>
        <w:ind w:right="3" w:hanging="360"/>
      </w:pPr>
      <w:r>
        <w:t>Poskytovatel odpovídá za škody, které vzniknou objednateli, případně třetím osobám dle ustanovení občanského zákoníku. Poskytovatel je povinen být pojištěn po celou dobu trvání této smlouvy, na odpovědnost za škodu způsobenou poskytovatelem služby objednateli a třetím osobám, minimální pojistná částka je 5 mil. Kč</w:t>
      </w:r>
    </w:p>
    <w:p w14:paraId="346DE9ED" w14:textId="77777777" w:rsidR="002137B8" w:rsidRDefault="00DD246F">
      <w:pPr>
        <w:numPr>
          <w:ilvl w:val="0"/>
          <w:numId w:val="12"/>
        </w:numPr>
        <w:ind w:right="3" w:hanging="360"/>
      </w:pPr>
      <w:r>
        <w:t>Za škody, prokazatelně způsobené pracovníky poskytovatele při provádění služeb, zodpovídá poskytovatel a budou po projednání a vzájemné dohodě likvidovány z pojištění poskytovatele. Výše případně vzniklé škody bude objednatelem vyčíslena a předložena poskytovateli k plnění pojistné události max. do deseti pracovních dnů ode dne vzniku události. Poskytovatel se zavazuje uhradit takto nahlášenou škodu v co nejkratší době, nejdéle do pěti pracovních dnů od doložení výše škody.</w:t>
      </w:r>
    </w:p>
    <w:p w14:paraId="77B40781" w14:textId="77777777" w:rsidR="002137B8" w:rsidRDefault="00DD246F">
      <w:pPr>
        <w:numPr>
          <w:ilvl w:val="0"/>
          <w:numId w:val="12"/>
        </w:numPr>
        <w:spacing w:after="505"/>
        <w:ind w:right="3" w:hanging="360"/>
      </w:pPr>
      <w:r>
        <w:t xml:space="preserve">Pro případ odpovědnosti za vzniklou škodu se poskytovatel zavazuje, že bude po celou dobu plnění této smlouvy pojištěn. V případě jakékoli změny v pojištění je poskytovatel povinen informovat o této změně objednatele. Sjednává se, že pokud vyplacené pojistné nepokryje vzniklou škodu, poskytovatel nese škodu ze svého a je povinen ji odstranit na své náklady. </w:t>
      </w:r>
      <w:r>
        <w:lastRenderedPageBreak/>
        <w:t>Poskytovatel je povinen vždy 10 dnů před ukončením pojistného období předložit platnou pojistnou smlouvu a doklad o úhradě pojistného na další pojistné období.</w:t>
      </w:r>
    </w:p>
    <w:p w14:paraId="5090DAF8" w14:textId="77777777" w:rsidR="002137B8" w:rsidRDefault="00DD246F">
      <w:pPr>
        <w:pStyle w:val="Nadpis1"/>
        <w:tabs>
          <w:tab w:val="center" w:pos="3493"/>
          <w:tab w:val="center" w:pos="4888"/>
        </w:tabs>
        <w:ind w:left="0" w:firstLine="0"/>
        <w:jc w:val="left"/>
      </w:pPr>
      <w:r>
        <w:rPr>
          <w:rFonts w:ascii="Calibri" w:eastAsia="Calibri" w:hAnsi="Calibri" w:cs="Calibri"/>
          <w:b w:val="0"/>
          <w:sz w:val="22"/>
        </w:rPr>
        <w:tab/>
      </w:r>
      <w:r>
        <w:t>VII.</w:t>
      </w:r>
      <w:r>
        <w:tab/>
        <w:t>Sankční ujednání</w:t>
      </w:r>
    </w:p>
    <w:p w14:paraId="602D46B7" w14:textId="09F79081" w:rsidR="002137B8" w:rsidRDefault="00DD246F">
      <w:pPr>
        <w:numPr>
          <w:ilvl w:val="0"/>
          <w:numId w:val="13"/>
        </w:numPr>
        <w:ind w:right="3" w:hanging="360"/>
      </w:pPr>
      <w:r>
        <w:t xml:space="preserve">Za každé jednotlivé porušení ustanovení v této smlouvě může účtovat objednatel poskytovateli smluvní pokutu ve výši </w:t>
      </w:r>
      <w:r w:rsidR="00741FBC">
        <w:t>2.000,- Kč</w:t>
      </w:r>
      <w:r>
        <w:t>. Tím není dotčeno právo objednatele na náhradu případné škody. Objednatel má právo na úhradu smluvní pokuty vzájemným zápočtem pohledávek.</w:t>
      </w:r>
    </w:p>
    <w:p w14:paraId="43FEC687" w14:textId="77777777" w:rsidR="002137B8" w:rsidRDefault="00DD246F">
      <w:pPr>
        <w:numPr>
          <w:ilvl w:val="0"/>
          <w:numId w:val="13"/>
        </w:numPr>
        <w:ind w:right="3" w:hanging="360"/>
      </w:pPr>
      <w:r>
        <w:t>Objednatel má právo neuhradit poskytovateli platbu za služby pracovníka nebo pracovníků za dobu, kdy služba nebyla vykonávaná dle této smlouvy (nevykonávanou službou se rozumí každá započatá hodina v souladu se stanovenou délkou služby). Smluvní pokuta za nenastoupení do služby 5.000,- Kč za každou nenastoupenou hodinu.</w:t>
      </w:r>
    </w:p>
    <w:p w14:paraId="20130009" w14:textId="77777777" w:rsidR="002137B8" w:rsidRDefault="00DD246F" w:rsidP="00867EBC">
      <w:pPr>
        <w:numPr>
          <w:ilvl w:val="0"/>
          <w:numId w:val="13"/>
        </w:numPr>
        <w:spacing w:after="120" w:line="240" w:lineRule="auto"/>
        <w:ind w:left="357" w:right="6" w:hanging="357"/>
      </w:pPr>
      <w:r>
        <w:t>Smluvní pokuta z prodlení s úhradou fakturované částky 0,05 % za každý i započatý den prodlení.</w:t>
      </w:r>
    </w:p>
    <w:p w14:paraId="13F52EB1" w14:textId="4A6E0B78" w:rsidR="002137B8" w:rsidRDefault="00DD246F" w:rsidP="00D42E91">
      <w:pPr>
        <w:pStyle w:val="Nadpis1"/>
        <w:tabs>
          <w:tab w:val="center" w:pos="0"/>
        </w:tabs>
        <w:ind w:left="0" w:firstLine="0"/>
      </w:pPr>
      <w:r>
        <w:t>VIII.</w:t>
      </w:r>
      <w:r>
        <w:tab/>
        <w:t>Trvání smlouvy</w:t>
      </w:r>
    </w:p>
    <w:p w14:paraId="400CF279" w14:textId="77777777" w:rsidR="002137B8" w:rsidRDefault="00DD246F">
      <w:pPr>
        <w:numPr>
          <w:ilvl w:val="0"/>
          <w:numId w:val="14"/>
        </w:numPr>
        <w:ind w:right="3" w:hanging="360"/>
      </w:pPr>
      <w:r>
        <w:t>Smlouva nabývá platnosti dnem podpisu oběma smluvními stranami.</w:t>
      </w:r>
    </w:p>
    <w:p w14:paraId="4BBEF24F" w14:textId="77777777" w:rsidR="002137B8" w:rsidRDefault="00DD246F">
      <w:pPr>
        <w:ind w:left="370" w:right="3"/>
      </w:pPr>
      <w:r>
        <w:t xml:space="preserve">Smlouva nabývá účinnosti dnem uveřejnění prostřednictvím registru smluv. </w:t>
      </w:r>
    </w:p>
    <w:p w14:paraId="77629F2E" w14:textId="2DE7854D" w:rsidR="002137B8" w:rsidRDefault="00DD246F">
      <w:pPr>
        <w:numPr>
          <w:ilvl w:val="0"/>
          <w:numId w:val="14"/>
        </w:numPr>
        <w:ind w:right="3" w:hanging="360"/>
      </w:pPr>
      <w:r>
        <w:t xml:space="preserve">Smlouva se uzavírá </w:t>
      </w:r>
      <w:r w:rsidR="00FB606D">
        <w:t xml:space="preserve">na dobu určitou, a to </w:t>
      </w:r>
      <w:r>
        <w:t xml:space="preserve">do </w:t>
      </w:r>
      <w:r w:rsidR="00F46A5A">
        <w:t>28</w:t>
      </w:r>
      <w:r>
        <w:t xml:space="preserve">. </w:t>
      </w:r>
      <w:r w:rsidR="00F46A5A">
        <w:t>února</w:t>
      </w:r>
      <w:r w:rsidR="00F46A5A">
        <w:t xml:space="preserve"> </w:t>
      </w:r>
      <w:r>
        <w:t>20</w:t>
      </w:r>
      <w:r w:rsidR="000D56C3">
        <w:t>2</w:t>
      </w:r>
      <w:r w:rsidR="00F46A5A">
        <w:t>7.</w:t>
      </w:r>
      <w:r>
        <w:t xml:space="preserve"> </w:t>
      </w:r>
    </w:p>
    <w:p w14:paraId="1D81A9CA" w14:textId="6A645159" w:rsidR="002137B8" w:rsidRDefault="00DD246F">
      <w:pPr>
        <w:numPr>
          <w:ilvl w:val="0"/>
          <w:numId w:val="14"/>
        </w:numPr>
        <w:ind w:right="3" w:hanging="360"/>
      </w:pPr>
      <w:r>
        <w:t>Smlouvu lze zrušit na základě písemné dohody obou smluvních stran nebo na základě výpovědi. Výpověď musí být učiněna písemnou formou a doručena do sídla druhé smluvní strany. Výpověď může podat kterákoli ze smluvních stran i bez udání důvodu.</w:t>
      </w:r>
    </w:p>
    <w:p w14:paraId="125B6A73" w14:textId="77777777" w:rsidR="002137B8" w:rsidRDefault="00DD246F">
      <w:pPr>
        <w:numPr>
          <w:ilvl w:val="0"/>
          <w:numId w:val="14"/>
        </w:numPr>
        <w:spacing w:after="661"/>
        <w:ind w:right="3" w:hanging="360"/>
      </w:pPr>
      <w:r>
        <w:t>Výpověď smlouvy z důvodu neplnění smluvních povinností druhé smluvní strany musí být učiněna písemnou formou a musí být doručena do sídla druhé smluvní strany. Výpovědní lhůta v případě výpovědi z důvodu neplnění smluvních povinností činí jeden měsíc a její běh počíná okamžikem doručení výpovědi.</w:t>
      </w:r>
    </w:p>
    <w:p w14:paraId="580F7CDE" w14:textId="09D99D39" w:rsidR="002137B8" w:rsidRDefault="00DD246F">
      <w:pPr>
        <w:pStyle w:val="Nadpis1"/>
        <w:ind w:left="1407" w:right="1403"/>
      </w:pPr>
      <w:r>
        <w:t>IX.</w:t>
      </w:r>
      <w:r w:rsidR="000D56C3">
        <w:t xml:space="preserve"> </w:t>
      </w:r>
      <w:r>
        <w:t>Oprávněnost k jednání</w:t>
      </w:r>
    </w:p>
    <w:p w14:paraId="6536283D" w14:textId="3CFF412D" w:rsidR="002137B8" w:rsidRDefault="00DD246F" w:rsidP="008B512A">
      <w:pPr>
        <w:numPr>
          <w:ilvl w:val="0"/>
          <w:numId w:val="15"/>
        </w:numPr>
        <w:ind w:right="3" w:hanging="360"/>
      </w:pPr>
      <w:r>
        <w:t xml:space="preserve">Za objednatele je ve věcech této smlouvy oprávněn jednat: Starostka Mgr. </w:t>
      </w:r>
      <w:r w:rsidR="008B512A">
        <w:t>Alena Kopejtková</w:t>
      </w:r>
    </w:p>
    <w:p w14:paraId="69B292F6" w14:textId="6AEF9698" w:rsidR="002137B8" w:rsidRDefault="00DD246F" w:rsidP="00952C29">
      <w:pPr>
        <w:spacing w:after="262"/>
        <w:ind w:left="0" w:right="3" w:firstLine="360"/>
      </w:pPr>
      <w:r>
        <w:t xml:space="preserve">Zástupce ve věcech technických: Ivana Havlíčková </w:t>
      </w:r>
    </w:p>
    <w:p w14:paraId="02BCC94D" w14:textId="77777777" w:rsidR="002137B8" w:rsidRDefault="00DD246F">
      <w:pPr>
        <w:numPr>
          <w:ilvl w:val="0"/>
          <w:numId w:val="15"/>
        </w:numPr>
        <w:ind w:right="1065" w:hanging="360"/>
      </w:pPr>
      <w:r>
        <w:t>Za poskytovatele je ve věcech této smlouvy oprávněn jednat:</w:t>
      </w:r>
    </w:p>
    <w:p w14:paraId="1F8351F6" w14:textId="77777777" w:rsidR="002137B8" w:rsidRDefault="00DD246F" w:rsidP="00867EBC">
      <w:pPr>
        <w:spacing w:after="120" w:line="240" w:lineRule="auto"/>
        <w:ind w:left="357" w:firstLine="0"/>
        <w:jc w:val="left"/>
      </w:pPr>
      <w:commentRangeStart w:id="2"/>
      <w:r w:rsidRPr="0027469B">
        <w:rPr>
          <w:shd w:val="clear" w:color="auto" w:fill="FFFF00"/>
        </w:rPr>
        <w:t>……………………………………………..</w:t>
      </w:r>
      <w:commentRangeEnd w:id="2"/>
      <w:r w:rsidR="007C34DA" w:rsidRPr="0027469B">
        <w:rPr>
          <w:rStyle w:val="Odkaznakoment"/>
        </w:rPr>
        <w:commentReference w:id="2"/>
      </w:r>
    </w:p>
    <w:p w14:paraId="0BEC0CAF" w14:textId="77777777" w:rsidR="002137B8" w:rsidRDefault="00DD246F">
      <w:pPr>
        <w:pStyle w:val="Nadpis1"/>
        <w:ind w:left="1407" w:right="1402"/>
      </w:pPr>
      <w:r>
        <w:t>X. Zvláštní ujednání</w:t>
      </w:r>
    </w:p>
    <w:p w14:paraId="79AF5689" w14:textId="77777777" w:rsidR="002137B8" w:rsidRDefault="00DD246F" w:rsidP="00952C29">
      <w:pPr>
        <w:numPr>
          <w:ilvl w:val="0"/>
          <w:numId w:val="16"/>
        </w:numPr>
        <w:ind w:left="426" w:right="3" w:hanging="426"/>
      </w:pPr>
      <w:r>
        <w:t>V případě změn v sociálním a zdravotním pojištění, minimální mzdy či dalších dopadů vyplývajících z právních předpisů vydaných po účinnost této smlouvy, dotýkajících se poskytovatele, se smluvní strany dohodnou na přiměřené změně smluvní ceny, což bude opraveno formou dodatku k této smlouvě.</w:t>
      </w:r>
    </w:p>
    <w:p w14:paraId="5697B21D" w14:textId="2591A497" w:rsidR="002137B8" w:rsidRDefault="00DD246F" w:rsidP="00952C29">
      <w:pPr>
        <w:numPr>
          <w:ilvl w:val="0"/>
          <w:numId w:val="16"/>
        </w:numPr>
        <w:ind w:left="426" w:right="3" w:hanging="426"/>
      </w:pPr>
      <w:r>
        <w:lastRenderedPageBreak/>
        <w:t>Pokud míra inflace převýší v roce následujícím 5 % roku minulého, bude navýšení hodinové sazby předmětem dalšího ujednání</w:t>
      </w:r>
      <w:r w:rsidR="00D42E91">
        <w:t>.</w:t>
      </w:r>
    </w:p>
    <w:p w14:paraId="1498F58E" w14:textId="7F03B6F5" w:rsidR="002137B8" w:rsidRDefault="00DD246F" w:rsidP="00952C29">
      <w:pPr>
        <w:numPr>
          <w:ilvl w:val="0"/>
          <w:numId w:val="16"/>
        </w:numPr>
        <w:ind w:left="426" w:right="3" w:hanging="426"/>
      </w:pPr>
      <w:r>
        <w:t>Práce budou prováděny na základě vzájemné dohody v čase vyhovující objednateli a dle jeho dispozic.</w:t>
      </w:r>
    </w:p>
    <w:p w14:paraId="64976F82" w14:textId="4088418B" w:rsidR="002137B8" w:rsidRDefault="00DD246F" w:rsidP="00D42E91">
      <w:pPr>
        <w:numPr>
          <w:ilvl w:val="0"/>
          <w:numId w:val="16"/>
        </w:numPr>
        <w:ind w:left="426" w:right="3" w:hanging="426"/>
      </w:pPr>
      <w:r>
        <w:t xml:space="preserve">Skutečnosti uvedené v této smlouvě se nepovažují za obchodní tajemství ve smyslu § 504 občanského zákoníku a lze je zveřejnit bez stanovení jakýchkoliv podmínek </w:t>
      </w:r>
    </w:p>
    <w:p w14:paraId="209DCD9B" w14:textId="77777777" w:rsidR="002137B8" w:rsidRDefault="00DD246F" w:rsidP="00952C29">
      <w:pPr>
        <w:numPr>
          <w:ilvl w:val="0"/>
          <w:numId w:val="16"/>
        </w:numPr>
        <w:spacing w:after="120" w:line="240" w:lineRule="auto"/>
        <w:ind w:left="426" w:right="6" w:hanging="426"/>
      </w:pPr>
      <w:r>
        <w:t>Tato smlouva, případně její změny či dodatky bude uveřejněna v registru smluv. Zveřejnění zajistí objednatel.</w:t>
      </w:r>
    </w:p>
    <w:p w14:paraId="60E5850E" w14:textId="3A05C752" w:rsidR="002137B8" w:rsidRDefault="00DD246F">
      <w:pPr>
        <w:pStyle w:val="Nadpis1"/>
        <w:ind w:left="1407" w:right="1402"/>
      </w:pPr>
      <w:r>
        <w:t>XI.</w:t>
      </w:r>
      <w:r w:rsidR="00867EBC">
        <w:t xml:space="preserve"> </w:t>
      </w:r>
      <w:r>
        <w:t>Závěrečná ustanovení</w:t>
      </w:r>
    </w:p>
    <w:p w14:paraId="602E4A71" w14:textId="77777777" w:rsidR="002137B8" w:rsidRDefault="00DD246F" w:rsidP="00952C29">
      <w:pPr>
        <w:numPr>
          <w:ilvl w:val="0"/>
          <w:numId w:val="17"/>
        </w:numPr>
        <w:ind w:left="426" w:right="3" w:hanging="426"/>
      </w:pPr>
      <w:r>
        <w:t>Výklad této smlouvy a právní vztahy z ní vzniklé se řídí občanským zákoníkem.</w:t>
      </w:r>
    </w:p>
    <w:p w14:paraId="6AEAC184" w14:textId="77777777" w:rsidR="002137B8" w:rsidRDefault="00DD246F" w:rsidP="00952C29">
      <w:pPr>
        <w:numPr>
          <w:ilvl w:val="0"/>
          <w:numId w:val="17"/>
        </w:numPr>
        <w:ind w:left="426" w:right="3" w:hanging="426"/>
      </w:pPr>
      <w:r>
        <w:t>Jakékoli změny a doplňky této smlouvy mohou být uskutečněny pouze uzavřením písemných, běžně číslovaných dodatků.</w:t>
      </w:r>
    </w:p>
    <w:p w14:paraId="4B0ED771" w14:textId="1953C8FF" w:rsidR="002137B8" w:rsidRPr="005B25C7" w:rsidRDefault="00DD246F" w:rsidP="00952C29">
      <w:pPr>
        <w:numPr>
          <w:ilvl w:val="0"/>
          <w:numId w:val="17"/>
        </w:numPr>
        <w:ind w:left="426" w:right="3" w:hanging="426"/>
        <w:rPr>
          <w:highlight w:val="yellow"/>
        </w:rPr>
      </w:pPr>
      <w:commentRangeStart w:id="3"/>
      <w:r w:rsidRPr="005B25C7">
        <w:rPr>
          <w:highlight w:val="yellow"/>
        </w:rPr>
        <w:t>Tato smlouva se uzavírá na základě usnesení Rady MČ Praha 17 č. Us RMČ</w:t>
      </w:r>
      <w:r w:rsidR="00D42E91" w:rsidRPr="005B25C7">
        <w:rPr>
          <w:highlight w:val="yellow"/>
        </w:rPr>
        <w:t xml:space="preserve"> XXXX </w:t>
      </w:r>
      <w:r w:rsidRPr="005B25C7">
        <w:rPr>
          <w:highlight w:val="yellow"/>
        </w:rPr>
        <w:t xml:space="preserve">ze dne </w:t>
      </w:r>
      <w:r w:rsidR="00D42E91" w:rsidRPr="005B25C7">
        <w:rPr>
          <w:highlight w:val="yellow"/>
        </w:rPr>
        <w:t>XX.XX.</w:t>
      </w:r>
      <w:r w:rsidR="0083725F">
        <w:rPr>
          <w:highlight w:val="yellow"/>
        </w:rPr>
        <w:t>XXXX</w:t>
      </w:r>
      <w:commentRangeEnd w:id="3"/>
      <w:r w:rsidR="00BD548D">
        <w:rPr>
          <w:rStyle w:val="Odkaznakoment"/>
        </w:rPr>
        <w:commentReference w:id="3"/>
      </w:r>
    </w:p>
    <w:p w14:paraId="136BF8DF" w14:textId="4EA22440" w:rsidR="002137B8" w:rsidRDefault="00DD246F" w:rsidP="00952C29">
      <w:pPr>
        <w:numPr>
          <w:ilvl w:val="0"/>
          <w:numId w:val="17"/>
        </w:numPr>
        <w:ind w:left="426" w:right="3" w:hanging="426"/>
      </w:pPr>
      <w:r>
        <w:t>Smlouva je vyhotovena v</w:t>
      </w:r>
      <w:r w:rsidR="008B512A">
        <w:t>e</w:t>
      </w:r>
      <w:r>
        <w:t xml:space="preserve"> </w:t>
      </w:r>
      <w:r w:rsidR="008B512A">
        <w:t>2</w:t>
      </w:r>
      <w:r>
        <w:t xml:space="preserve"> stejnopisech se stejnou právní silou, z nichž </w:t>
      </w:r>
      <w:r w:rsidR="008B512A">
        <w:t>každá ze stran obdrží jedno</w:t>
      </w:r>
      <w:r>
        <w:t xml:space="preserve"> vyhotovení. </w:t>
      </w:r>
    </w:p>
    <w:p w14:paraId="54E9A046" w14:textId="635850B5" w:rsidR="002137B8" w:rsidRDefault="00DD246F" w:rsidP="00952C29">
      <w:pPr>
        <w:numPr>
          <w:ilvl w:val="0"/>
          <w:numId w:val="17"/>
        </w:numPr>
        <w:ind w:left="426" w:right="3" w:hanging="426"/>
      </w:pPr>
      <w:r>
        <w:t xml:space="preserve">Tato smlouva nabývá platnosti dnem podpisu oprávněnými osobami obou smluvních stran. </w:t>
      </w:r>
    </w:p>
    <w:p w14:paraId="21B687D4" w14:textId="77777777" w:rsidR="002137B8" w:rsidRDefault="00DD246F" w:rsidP="00952C29">
      <w:pPr>
        <w:numPr>
          <w:ilvl w:val="0"/>
          <w:numId w:val="17"/>
        </w:numPr>
        <w:spacing w:after="0"/>
        <w:ind w:left="426" w:right="3" w:hanging="426"/>
      </w:pPr>
      <w:r>
        <w:t>Tato smlouva nabývá účinnosti dnem uveřejnění prostřednictvím registru smluv.</w:t>
      </w:r>
    </w:p>
    <w:p w14:paraId="2F980C9E" w14:textId="77777777" w:rsidR="00867EBC" w:rsidRDefault="00867EBC">
      <w:pPr>
        <w:tabs>
          <w:tab w:val="right" w:pos="9075"/>
        </w:tabs>
        <w:spacing w:after="545"/>
        <w:ind w:left="-15" w:firstLine="0"/>
        <w:jc w:val="left"/>
      </w:pPr>
    </w:p>
    <w:tbl>
      <w:tblPr>
        <w:tblW w:w="9818" w:type="dxa"/>
        <w:tblLook w:val="04A0" w:firstRow="1" w:lastRow="0" w:firstColumn="1" w:lastColumn="0" w:noHBand="0" w:noVBand="1"/>
      </w:tblPr>
      <w:tblGrid>
        <w:gridCol w:w="4784"/>
        <w:gridCol w:w="2976"/>
        <w:gridCol w:w="2049"/>
        <w:gridCol w:w="9"/>
      </w:tblGrid>
      <w:tr w:rsidR="003B3DFB" w:rsidRPr="003B3DFB" w14:paraId="3E9F060D" w14:textId="77777777" w:rsidTr="006B6592">
        <w:trPr>
          <w:gridAfter w:val="1"/>
          <w:wAfter w:w="10" w:type="dxa"/>
        </w:trPr>
        <w:tc>
          <w:tcPr>
            <w:tcW w:w="5038" w:type="dxa"/>
          </w:tcPr>
          <w:p w14:paraId="0D83FAA9" w14:textId="77777777" w:rsidR="003B3DFB" w:rsidRPr="003B3DFB" w:rsidRDefault="003B3DFB" w:rsidP="006B6592">
            <w:pPr>
              <w:pStyle w:val="Textvbloku"/>
              <w:tabs>
                <w:tab w:val="left" w:pos="5670"/>
              </w:tabs>
              <w:spacing w:line="276" w:lineRule="auto"/>
              <w:rPr>
                <w:rFonts w:ascii="Times New Roman" w:hAnsi="Times New Roman" w:cs="Times New Roman"/>
                <w:b/>
                <w:bCs/>
                <w:szCs w:val="24"/>
              </w:rPr>
            </w:pPr>
            <w:r w:rsidRPr="003B3DFB">
              <w:rPr>
                <w:rFonts w:ascii="Times New Roman" w:hAnsi="Times New Roman" w:cs="Times New Roman"/>
                <w:szCs w:val="24"/>
              </w:rPr>
              <w:t>Objednatel:</w:t>
            </w:r>
          </w:p>
          <w:p w14:paraId="1B33E34A" w14:textId="77777777" w:rsidR="003B3DFB" w:rsidRPr="003B3DFB" w:rsidRDefault="003B3DFB" w:rsidP="006B6592">
            <w:pPr>
              <w:pStyle w:val="Textvbloku"/>
              <w:tabs>
                <w:tab w:val="left" w:pos="5670"/>
              </w:tabs>
              <w:spacing w:line="276" w:lineRule="auto"/>
              <w:jc w:val="center"/>
              <w:rPr>
                <w:rFonts w:ascii="Times New Roman" w:hAnsi="Times New Roman" w:cs="Times New Roman"/>
                <w:b/>
                <w:bCs/>
                <w:szCs w:val="24"/>
              </w:rPr>
            </w:pPr>
          </w:p>
          <w:p w14:paraId="30A342B5" w14:textId="77777777" w:rsidR="003B3DFB" w:rsidRPr="003B3DFB" w:rsidRDefault="003B3DFB" w:rsidP="006B6592">
            <w:pPr>
              <w:pStyle w:val="Textvbloku"/>
              <w:tabs>
                <w:tab w:val="left" w:pos="5670"/>
              </w:tabs>
              <w:spacing w:line="276" w:lineRule="auto"/>
              <w:jc w:val="center"/>
              <w:rPr>
                <w:rFonts w:ascii="Times New Roman" w:hAnsi="Times New Roman" w:cs="Times New Roman"/>
                <w:b/>
                <w:bCs/>
                <w:szCs w:val="24"/>
              </w:rPr>
            </w:pPr>
          </w:p>
          <w:p w14:paraId="0242F5C5" w14:textId="77777777" w:rsidR="003B3DFB" w:rsidRPr="003B3DFB" w:rsidRDefault="003B3DFB" w:rsidP="006B6592">
            <w:pPr>
              <w:pStyle w:val="Textvbloku"/>
              <w:tabs>
                <w:tab w:val="left" w:pos="5670"/>
              </w:tabs>
              <w:spacing w:line="276" w:lineRule="auto"/>
              <w:jc w:val="center"/>
              <w:rPr>
                <w:rFonts w:ascii="Times New Roman" w:hAnsi="Times New Roman" w:cs="Times New Roman"/>
                <w:b/>
                <w:bCs/>
                <w:szCs w:val="24"/>
              </w:rPr>
            </w:pPr>
          </w:p>
        </w:tc>
        <w:tc>
          <w:tcPr>
            <w:tcW w:w="4770" w:type="dxa"/>
            <w:gridSpan w:val="2"/>
          </w:tcPr>
          <w:p w14:paraId="5DDB3C23" w14:textId="5186F443" w:rsidR="003B3DFB" w:rsidRPr="004107D6" w:rsidRDefault="00E34A8D" w:rsidP="006B6592">
            <w:pPr>
              <w:pStyle w:val="Textvbloku"/>
              <w:tabs>
                <w:tab w:val="left" w:pos="5670"/>
              </w:tabs>
              <w:spacing w:line="276" w:lineRule="auto"/>
              <w:rPr>
                <w:rFonts w:ascii="Times New Roman" w:hAnsi="Times New Roman" w:cs="Times New Roman"/>
                <w:b/>
                <w:bCs/>
                <w:szCs w:val="24"/>
              </w:rPr>
            </w:pPr>
            <w:r w:rsidRPr="004107D6">
              <w:rPr>
                <w:rFonts w:ascii="Times New Roman" w:hAnsi="Times New Roman" w:cs="Times New Roman"/>
                <w:szCs w:val="24"/>
              </w:rPr>
              <w:t>Poskytovatel</w:t>
            </w:r>
            <w:r w:rsidR="003B3DFB" w:rsidRPr="004107D6">
              <w:rPr>
                <w:rFonts w:ascii="Times New Roman" w:hAnsi="Times New Roman" w:cs="Times New Roman"/>
                <w:szCs w:val="24"/>
              </w:rPr>
              <w:t>:</w:t>
            </w:r>
          </w:p>
        </w:tc>
      </w:tr>
      <w:tr w:rsidR="003B3DFB" w:rsidRPr="003B3DFB" w14:paraId="5E2124B0" w14:textId="77777777" w:rsidTr="006B6592">
        <w:tc>
          <w:tcPr>
            <w:tcW w:w="5038" w:type="dxa"/>
          </w:tcPr>
          <w:p w14:paraId="75B7EA73" w14:textId="77777777" w:rsidR="003B3DFB" w:rsidRPr="003B3DFB" w:rsidRDefault="003B3DFB" w:rsidP="006B6592">
            <w:pPr>
              <w:pStyle w:val="Textvbloku"/>
              <w:tabs>
                <w:tab w:val="left" w:pos="5670"/>
              </w:tabs>
              <w:spacing w:line="276" w:lineRule="auto"/>
              <w:ind w:right="0"/>
              <w:rPr>
                <w:rFonts w:ascii="Times New Roman" w:hAnsi="Times New Roman" w:cs="Times New Roman"/>
                <w:b/>
                <w:bCs/>
                <w:szCs w:val="24"/>
              </w:rPr>
            </w:pPr>
            <w:r w:rsidRPr="003B3DFB">
              <w:rPr>
                <w:rFonts w:ascii="Times New Roman" w:hAnsi="Times New Roman" w:cs="Times New Roman"/>
                <w:b/>
                <w:bCs/>
                <w:szCs w:val="24"/>
              </w:rPr>
              <w:t>………..………………………</w:t>
            </w:r>
          </w:p>
        </w:tc>
        <w:tc>
          <w:tcPr>
            <w:tcW w:w="2424" w:type="dxa"/>
          </w:tcPr>
          <w:p w14:paraId="2BAA33CA" w14:textId="77777777" w:rsidR="003B3DFB" w:rsidRPr="003B3DFB" w:rsidRDefault="003B3DFB" w:rsidP="006B6592">
            <w:pPr>
              <w:pStyle w:val="Textvbloku"/>
              <w:tabs>
                <w:tab w:val="left" w:pos="5670"/>
              </w:tabs>
              <w:spacing w:line="276" w:lineRule="auto"/>
              <w:rPr>
                <w:rFonts w:ascii="Times New Roman" w:hAnsi="Times New Roman" w:cs="Times New Roman"/>
                <w:b/>
                <w:bCs/>
                <w:szCs w:val="24"/>
              </w:rPr>
            </w:pPr>
            <w:r w:rsidRPr="003B3DFB">
              <w:rPr>
                <w:rFonts w:ascii="Times New Roman" w:hAnsi="Times New Roman" w:cs="Times New Roman"/>
                <w:b/>
                <w:bCs/>
                <w:szCs w:val="24"/>
              </w:rPr>
              <w:t>……………………………..</w:t>
            </w:r>
          </w:p>
        </w:tc>
        <w:tc>
          <w:tcPr>
            <w:tcW w:w="2356" w:type="dxa"/>
            <w:gridSpan w:val="2"/>
          </w:tcPr>
          <w:p w14:paraId="3B91A985" w14:textId="77777777" w:rsidR="003B3DFB" w:rsidRPr="003B3DFB" w:rsidRDefault="003B3DFB" w:rsidP="006B6592">
            <w:pPr>
              <w:pStyle w:val="Textvbloku"/>
              <w:tabs>
                <w:tab w:val="left" w:pos="5670"/>
              </w:tabs>
              <w:spacing w:line="276" w:lineRule="auto"/>
              <w:jc w:val="center"/>
              <w:rPr>
                <w:rFonts w:ascii="Times New Roman" w:hAnsi="Times New Roman" w:cs="Times New Roman"/>
                <w:b/>
                <w:bCs/>
                <w:szCs w:val="24"/>
              </w:rPr>
            </w:pPr>
          </w:p>
        </w:tc>
      </w:tr>
      <w:tr w:rsidR="003B3DFB" w:rsidRPr="003B3DFB" w14:paraId="43489A9C" w14:textId="77777777" w:rsidTr="006B6592">
        <w:tc>
          <w:tcPr>
            <w:tcW w:w="5038" w:type="dxa"/>
          </w:tcPr>
          <w:p w14:paraId="388957D1" w14:textId="77777777" w:rsidR="003B3DFB" w:rsidRPr="003B3DFB" w:rsidRDefault="003B3DFB" w:rsidP="006B6592">
            <w:pPr>
              <w:pStyle w:val="Textvbloku"/>
              <w:tabs>
                <w:tab w:val="left" w:pos="5670"/>
              </w:tabs>
              <w:spacing w:line="276" w:lineRule="auto"/>
              <w:rPr>
                <w:rFonts w:ascii="Times New Roman" w:hAnsi="Times New Roman" w:cs="Times New Roman"/>
                <w:szCs w:val="24"/>
              </w:rPr>
            </w:pPr>
            <w:r w:rsidRPr="003B3DFB">
              <w:rPr>
                <w:rFonts w:ascii="Times New Roman" w:hAnsi="Times New Roman" w:cs="Times New Roman"/>
                <w:szCs w:val="24"/>
              </w:rPr>
              <w:t xml:space="preserve">Mgr. Alena Kopejtková </w:t>
            </w:r>
          </w:p>
          <w:p w14:paraId="07FACBA4" w14:textId="77777777" w:rsidR="003B3DFB" w:rsidRPr="003B3DFB" w:rsidRDefault="003B3DFB" w:rsidP="006B6592">
            <w:pPr>
              <w:pStyle w:val="Textvbloku"/>
              <w:tabs>
                <w:tab w:val="left" w:pos="5670"/>
              </w:tabs>
              <w:spacing w:line="276" w:lineRule="auto"/>
              <w:rPr>
                <w:rFonts w:ascii="Times New Roman" w:hAnsi="Times New Roman" w:cs="Times New Roman"/>
                <w:szCs w:val="24"/>
              </w:rPr>
            </w:pPr>
            <w:r w:rsidRPr="003B3DFB">
              <w:rPr>
                <w:rFonts w:ascii="Times New Roman" w:hAnsi="Times New Roman" w:cs="Times New Roman"/>
                <w:szCs w:val="24"/>
              </w:rPr>
              <w:t>starostka</w:t>
            </w:r>
          </w:p>
        </w:tc>
        <w:tc>
          <w:tcPr>
            <w:tcW w:w="2424" w:type="dxa"/>
          </w:tcPr>
          <w:p w14:paraId="3B62F678" w14:textId="77777777" w:rsidR="003B3DFB" w:rsidRPr="003B3DFB" w:rsidRDefault="003B3DFB" w:rsidP="006B6592">
            <w:pPr>
              <w:pStyle w:val="Textvbloku"/>
              <w:tabs>
                <w:tab w:val="left" w:pos="5670"/>
              </w:tabs>
              <w:spacing w:line="276" w:lineRule="auto"/>
              <w:jc w:val="center"/>
              <w:rPr>
                <w:rFonts w:ascii="Times New Roman" w:hAnsi="Times New Roman" w:cs="Times New Roman"/>
                <w:szCs w:val="24"/>
              </w:rPr>
            </w:pPr>
          </w:p>
        </w:tc>
        <w:tc>
          <w:tcPr>
            <w:tcW w:w="2356" w:type="dxa"/>
            <w:gridSpan w:val="2"/>
          </w:tcPr>
          <w:p w14:paraId="5E9633A8" w14:textId="77777777" w:rsidR="003B3DFB" w:rsidRPr="003B3DFB" w:rsidRDefault="003B3DFB" w:rsidP="006B6592">
            <w:pPr>
              <w:pStyle w:val="Textvbloku"/>
              <w:tabs>
                <w:tab w:val="left" w:pos="5670"/>
              </w:tabs>
              <w:spacing w:line="276" w:lineRule="auto"/>
              <w:jc w:val="center"/>
              <w:rPr>
                <w:rFonts w:ascii="Times New Roman" w:hAnsi="Times New Roman" w:cs="Times New Roman"/>
                <w:szCs w:val="24"/>
              </w:rPr>
            </w:pPr>
          </w:p>
        </w:tc>
      </w:tr>
    </w:tbl>
    <w:p w14:paraId="34A3E7FC" w14:textId="77777777" w:rsidR="00867EBC" w:rsidRDefault="00867EBC" w:rsidP="00867EBC">
      <w:pPr>
        <w:spacing w:after="120" w:line="240" w:lineRule="auto"/>
        <w:ind w:left="-6" w:right="6" w:hanging="11"/>
        <w:jc w:val="center"/>
        <w:rPr>
          <w:b/>
          <w:sz w:val="22"/>
        </w:rPr>
      </w:pPr>
    </w:p>
    <w:p w14:paraId="45F724CB" w14:textId="77777777" w:rsidR="0083725F" w:rsidRPr="0024129A" w:rsidRDefault="0083725F" w:rsidP="0083725F">
      <w:pPr>
        <w:pStyle w:val="Nadpis1"/>
        <w:ind w:left="0" w:firstLine="0"/>
        <w:rPr>
          <w:sz w:val="20"/>
        </w:rPr>
      </w:pPr>
      <w:r w:rsidRPr="0024129A">
        <w:rPr>
          <w:sz w:val="20"/>
        </w:rPr>
        <w:t>DOLOŽKA</w:t>
      </w:r>
    </w:p>
    <w:p w14:paraId="354B47FB" w14:textId="77777777" w:rsidR="0083725F" w:rsidRPr="0024129A" w:rsidRDefault="0083725F" w:rsidP="0083725F">
      <w:pPr>
        <w:jc w:val="center"/>
      </w:pPr>
    </w:p>
    <w:p w14:paraId="24153690" w14:textId="77777777" w:rsidR="0083725F" w:rsidRPr="0024129A" w:rsidRDefault="0083725F" w:rsidP="0083725F">
      <w:pPr>
        <w:jc w:val="center"/>
      </w:pPr>
      <w:r w:rsidRPr="0024129A">
        <w:t xml:space="preserve">V souladu s usnesením </w:t>
      </w:r>
      <w:proofErr w:type="spellStart"/>
      <w:r w:rsidRPr="0024129A">
        <w:t>Us</w:t>
      </w:r>
      <w:proofErr w:type="spellEnd"/>
      <w:r w:rsidRPr="0024129A">
        <w:t xml:space="preserve"> RMČ </w:t>
      </w:r>
      <w:r w:rsidRPr="0024129A">
        <w:rPr>
          <w:highlight w:val="yellow"/>
        </w:rPr>
        <w:t>…………</w:t>
      </w:r>
      <w:r w:rsidRPr="0024129A">
        <w:t>/202</w:t>
      </w:r>
      <w:r>
        <w:t>5</w:t>
      </w:r>
      <w:r w:rsidRPr="0024129A">
        <w:t xml:space="preserve"> ze dne </w:t>
      </w:r>
      <w:r w:rsidRPr="0024129A">
        <w:rPr>
          <w:highlight w:val="yellow"/>
        </w:rPr>
        <w:t>…………</w:t>
      </w:r>
      <w:r w:rsidRPr="0024129A">
        <w:t>202</w:t>
      </w:r>
      <w:r>
        <w:t>5</w:t>
      </w:r>
      <w:r w:rsidRPr="0024129A">
        <w:t xml:space="preserve"> se osvědčuje právní úkon spočívající v uzavření smlouvy o dílo mezi Městskou částí Praha 17 a společností </w:t>
      </w:r>
      <w:r w:rsidRPr="0024129A">
        <w:rPr>
          <w:highlight w:val="yellow"/>
        </w:rPr>
        <w:t>…………</w:t>
      </w:r>
    </w:p>
    <w:p w14:paraId="5CDAE5A3" w14:textId="77777777" w:rsidR="0083725F" w:rsidRDefault="0083725F" w:rsidP="0083725F">
      <w:pPr>
        <w:jc w:val="center"/>
      </w:pPr>
    </w:p>
    <w:p w14:paraId="54A88850" w14:textId="77777777" w:rsidR="0083725F" w:rsidRPr="0024129A" w:rsidRDefault="0083725F" w:rsidP="0083725F">
      <w:pPr>
        <w:jc w:val="center"/>
      </w:pPr>
    </w:p>
    <w:p w14:paraId="608246B1" w14:textId="77777777" w:rsidR="0083725F" w:rsidRPr="0024129A" w:rsidRDefault="0083725F" w:rsidP="0083725F">
      <w:r w:rsidRPr="0024129A">
        <w:t xml:space="preserve">V Praze </w:t>
      </w:r>
    </w:p>
    <w:p w14:paraId="00DEE825" w14:textId="77777777" w:rsidR="0083725F" w:rsidRPr="0024129A" w:rsidRDefault="0083725F" w:rsidP="0083725F">
      <w:pPr>
        <w:jc w:val="center"/>
      </w:pPr>
      <w:r>
        <w:t xml:space="preserve"> </w:t>
      </w:r>
    </w:p>
    <w:p w14:paraId="027C7FE1" w14:textId="77777777" w:rsidR="0083725F" w:rsidRPr="0024129A" w:rsidRDefault="0083725F" w:rsidP="0083725F">
      <w:pPr>
        <w:jc w:val="center"/>
      </w:pPr>
    </w:p>
    <w:p w14:paraId="7D428333" w14:textId="77777777" w:rsidR="0083725F" w:rsidRPr="0024129A" w:rsidRDefault="0083725F" w:rsidP="0083725F">
      <w:pPr>
        <w:jc w:val="center"/>
      </w:pPr>
    </w:p>
    <w:p w14:paraId="7BB02429" w14:textId="77777777" w:rsidR="0083725F" w:rsidRPr="0024129A" w:rsidRDefault="0083725F" w:rsidP="0083725F">
      <w:pPr>
        <w:jc w:val="center"/>
      </w:pPr>
    </w:p>
    <w:p w14:paraId="2F682850" w14:textId="77777777" w:rsidR="0083725F" w:rsidRPr="0024129A" w:rsidRDefault="0083725F" w:rsidP="0083725F">
      <w:pPr>
        <w:jc w:val="center"/>
      </w:pPr>
    </w:p>
    <w:p w14:paraId="63EC1D59" w14:textId="5B8D90A7" w:rsidR="002137B8" w:rsidRPr="003B3DFB" w:rsidRDefault="0083725F" w:rsidP="003B3DFB">
      <w:pPr>
        <w:jc w:val="center"/>
      </w:pPr>
      <w:r w:rsidRPr="0024129A">
        <w:t>................................</w:t>
      </w:r>
      <w:r>
        <w:t>.............</w:t>
      </w:r>
      <w:r w:rsidRPr="0024129A">
        <w:t xml:space="preserve">    </w:t>
      </w:r>
      <w:r>
        <w:t xml:space="preserve">   </w:t>
      </w:r>
      <w:r>
        <w:tab/>
      </w:r>
      <w:r>
        <w:tab/>
      </w:r>
      <w:r w:rsidRPr="0024129A">
        <w:tab/>
        <w:t>................................</w:t>
      </w:r>
      <w:r>
        <w:t>............</w:t>
      </w:r>
    </w:p>
    <w:sectPr w:rsidR="002137B8" w:rsidRPr="003B3DFB">
      <w:headerReference w:type="even" r:id="rId13"/>
      <w:headerReference w:type="default" r:id="rId14"/>
      <w:footerReference w:type="even" r:id="rId15"/>
      <w:footerReference w:type="default" r:id="rId16"/>
      <w:headerReference w:type="first" r:id="rId17"/>
      <w:footerReference w:type="first" r:id="rId18"/>
      <w:pgSz w:w="11900" w:h="16840"/>
      <w:pgMar w:top="1546" w:right="1405" w:bottom="1436" w:left="1420" w:header="718" w:footer="986"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déla Haluzová" w:date="2025-12-12T15:54:00Z" w:initials="AH">
    <w:p w14:paraId="1139F6D3" w14:textId="66F5639D" w:rsidR="00E54C1F" w:rsidRDefault="00E54C1F">
      <w:pPr>
        <w:pStyle w:val="Textkomente"/>
      </w:pPr>
      <w:r>
        <w:rPr>
          <w:rStyle w:val="Odkaznakoment"/>
        </w:rPr>
        <w:annotationRef/>
      </w:r>
      <w:r w:rsidR="00216218">
        <w:rPr>
          <w:rStyle w:val="Odkaznakoment"/>
        </w:rPr>
        <w:t>Bude doplněno před podpisem smlouvy</w:t>
      </w:r>
    </w:p>
  </w:comment>
  <w:comment w:id="1" w:author="Adéla Haluzová" w:date="2025-12-12T15:59:00Z" w:initials="AH">
    <w:p w14:paraId="5184C916" w14:textId="5A6A4C86" w:rsidR="00B10C2C" w:rsidRDefault="00B10C2C">
      <w:pPr>
        <w:pStyle w:val="Textkomente"/>
      </w:pPr>
      <w:r>
        <w:rPr>
          <w:rStyle w:val="Odkaznakoment"/>
        </w:rPr>
        <w:annotationRef/>
      </w:r>
      <w:r w:rsidRPr="00B10C2C">
        <w:t>Bude doplněno před podpisem smlouvy</w:t>
      </w:r>
    </w:p>
  </w:comment>
  <w:comment w:id="2" w:author="Adéla Haluzová" w:date="2025-12-12T11:56:00Z" w:initials="AH">
    <w:p w14:paraId="28BBBB49" w14:textId="3AFDB8C7" w:rsidR="007C34DA" w:rsidRDefault="007C34DA">
      <w:pPr>
        <w:pStyle w:val="Textkomente"/>
      </w:pPr>
      <w:r>
        <w:rPr>
          <w:rStyle w:val="Odkaznakoment"/>
        </w:rPr>
        <w:annotationRef/>
      </w:r>
      <w:r w:rsidR="00B10C2C" w:rsidRPr="00B10C2C">
        <w:t>Bude doplněno před podpisem smlouvy</w:t>
      </w:r>
    </w:p>
    <w:p w14:paraId="3D16D6FD" w14:textId="4D14CF5D" w:rsidR="007C34DA" w:rsidRDefault="007C34DA" w:rsidP="007C34DA">
      <w:pPr>
        <w:pStyle w:val="Textkomente"/>
        <w:ind w:left="0" w:firstLine="0"/>
      </w:pPr>
    </w:p>
  </w:comment>
  <w:comment w:id="3" w:author="Adéla Haluzová" w:date="2025-12-12T15:58:00Z" w:initials="AH">
    <w:p w14:paraId="72CE10E7" w14:textId="5BA0251F" w:rsidR="00BD548D" w:rsidRDefault="00BD548D">
      <w:pPr>
        <w:pStyle w:val="Textkomente"/>
      </w:pPr>
      <w:r>
        <w:rPr>
          <w:rStyle w:val="Odkaznakoment"/>
        </w:rPr>
        <w:annotationRef/>
      </w:r>
      <w:r>
        <w:rPr>
          <w:rStyle w:val="Odkaznakoment"/>
        </w:rPr>
        <w:t>Bude doplněno před podpisem smlouvy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139F6D3" w15:done="0"/>
  <w15:commentEx w15:paraId="5184C916" w15:done="0"/>
  <w15:commentEx w15:paraId="3D16D6FD" w15:done="0"/>
  <w15:commentEx w15:paraId="72CE10E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35A021F" w16cex:dateUtc="2025-12-12T14:54:00Z"/>
  <w16cex:commentExtensible w16cex:durableId="719F8EEE" w16cex:dateUtc="2025-12-12T14:59:00Z"/>
  <w16cex:commentExtensible w16cex:durableId="561D8FBA" w16cex:dateUtc="2025-12-12T10:56:00Z"/>
  <w16cex:commentExtensible w16cex:durableId="63F9A553" w16cex:dateUtc="2025-12-12T14: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39F6D3" w16cid:durableId="435A021F"/>
  <w16cid:commentId w16cid:paraId="5184C916" w16cid:durableId="719F8EEE"/>
  <w16cid:commentId w16cid:paraId="3D16D6FD" w16cid:durableId="561D8FBA"/>
  <w16cid:commentId w16cid:paraId="72CE10E7" w16cid:durableId="63F9A55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5E7B8" w14:textId="77777777" w:rsidR="00BD6E8F" w:rsidRDefault="00BD6E8F">
      <w:pPr>
        <w:spacing w:after="0" w:line="240" w:lineRule="auto"/>
      </w:pPr>
      <w:r>
        <w:separator/>
      </w:r>
    </w:p>
  </w:endnote>
  <w:endnote w:type="continuationSeparator" w:id="0">
    <w:p w14:paraId="2E2C3043" w14:textId="77777777" w:rsidR="00BD6E8F" w:rsidRDefault="00BD6E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68968" w14:textId="77777777" w:rsidR="002137B8" w:rsidRDefault="00DD246F">
    <w:pPr>
      <w:spacing w:after="0" w:line="259" w:lineRule="auto"/>
      <w:ind w:left="0" w:right="3" w:firstLine="0"/>
      <w:jc w:val="center"/>
    </w:pPr>
    <w:r>
      <w:fldChar w:fldCharType="begin"/>
    </w:r>
    <w:r>
      <w:instrText xml:space="preserve"> PAGE   \* MERGEFORMAT </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47BFC" w14:textId="77777777" w:rsidR="002137B8" w:rsidRDefault="00DD246F">
    <w:pPr>
      <w:spacing w:after="0" w:line="259" w:lineRule="auto"/>
      <w:ind w:left="0" w:right="3" w:firstLine="0"/>
      <w:jc w:val="center"/>
    </w:pPr>
    <w:r>
      <w:fldChar w:fldCharType="begin"/>
    </w:r>
    <w:r>
      <w:instrText xml:space="preserve"> PAGE   \* MERGEFORMAT </w:instrText>
    </w:r>
    <w:r>
      <w:fldChar w:fldCharType="separate"/>
    </w:r>
    <w: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89E7A" w14:textId="77777777" w:rsidR="002137B8" w:rsidRDefault="00DD246F">
    <w:pPr>
      <w:spacing w:after="0" w:line="259" w:lineRule="auto"/>
      <w:ind w:left="0" w:right="3" w:firstLine="0"/>
      <w:jc w:val="center"/>
    </w:pPr>
    <w:r>
      <w:fldChar w:fldCharType="begin"/>
    </w:r>
    <w:r>
      <w:instrText xml:space="preserve"> PAGE   \* MERGEFORMAT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3C03C" w14:textId="77777777" w:rsidR="00BD6E8F" w:rsidRDefault="00BD6E8F">
      <w:pPr>
        <w:spacing w:after="0" w:line="240" w:lineRule="auto"/>
      </w:pPr>
      <w:r>
        <w:separator/>
      </w:r>
    </w:p>
  </w:footnote>
  <w:footnote w:type="continuationSeparator" w:id="0">
    <w:p w14:paraId="04FD2F9E" w14:textId="77777777" w:rsidR="00BD6E8F" w:rsidRDefault="00BD6E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0DDA8" w14:textId="77777777" w:rsidR="002137B8" w:rsidRDefault="00DD246F">
    <w:pPr>
      <w:tabs>
        <w:tab w:val="center" w:pos="6147"/>
        <w:tab w:val="right" w:pos="9075"/>
      </w:tabs>
      <w:spacing w:after="0" w:line="259" w:lineRule="auto"/>
      <w:ind w:left="0" w:firstLine="0"/>
      <w:jc w:val="left"/>
    </w:pPr>
    <w:r>
      <w:rPr>
        <w:rFonts w:ascii="Calibri" w:eastAsia="Calibri" w:hAnsi="Calibri" w:cs="Calibri"/>
        <w:sz w:val="22"/>
      </w:rPr>
      <w:tab/>
    </w:r>
    <w:r>
      <w:t>Č. smlouvy objednatele</w:t>
    </w:r>
    <w:r>
      <w:rPr>
        <w:b/>
      </w:rPr>
      <w:t xml:space="preserve">: </w:t>
    </w:r>
    <w:r>
      <w:rPr>
        <w:b/>
      </w:rPr>
      <w:tab/>
      <w:t>/2018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9ABED" w14:textId="5E2BFBBB" w:rsidR="003E2E4A" w:rsidRPr="003E2E4A" w:rsidRDefault="003E2E4A">
    <w:pPr>
      <w:tabs>
        <w:tab w:val="center" w:pos="6147"/>
        <w:tab w:val="right" w:pos="9075"/>
      </w:tabs>
      <w:spacing w:after="0" w:line="259" w:lineRule="auto"/>
      <w:ind w:left="0" w:firstLine="0"/>
      <w:jc w:val="left"/>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20FCB" w14:textId="77777777" w:rsidR="002137B8" w:rsidRDefault="00DD246F">
    <w:pPr>
      <w:tabs>
        <w:tab w:val="center" w:pos="6147"/>
        <w:tab w:val="right" w:pos="9075"/>
      </w:tabs>
      <w:spacing w:after="0" w:line="259" w:lineRule="auto"/>
      <w:ind w:left="0" w:firstLine="0"/>
      <w:jc w:val="left"/>
    </w:pPr>
    <w:r>
      <w:rPr>
        <w:rFonts w:ascii="Calibri" w:eastAsia="Calibri" w:hAnsi="Calibri" w:cs="Calibri"/>
        <w:sz w:val="22"/>
      </w:rPr>
      <w:tab/>
    </w:r>
    <w:r>
      <w:t>Č. smlouvy objednatele</w:t>
    </w:r>
    <w:r>
      <w:rPr>
        <w:b/>
      </w:rPr>
      <w:t xml:space="preserve">: </w:t>
    </w:r>
    <w:r>
      <w:rPr>
        <w:b/>
      </w:rPr>
      <w:tab/>
      <w:t>/2018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A615B"/>
    <w:multiLevelType w:val="hybridMultilevel"/>
    <w:tmpl w:val="30B04672"/>
    <w:lvl w:ilvl="0" w:tplc="D92E4994">
      <w:start w:val="1"/>
      <w:numFmt w:val="decimal"/>
      <w:lvlText w:val="%1."/>
      <w:lvlJc w:val="left"/>
      <w:pPr>
        <w:ind w:left="2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8A42A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10A74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DD21A3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F0D4D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92A56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1865D5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6EEA8A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A0C89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A705F2C"/>
    <w:multiLevelType w:val="hybridMultilevel"/>
    <w:tmpl w:val="B14A0F20"/>
    <w:lvl w:ilvl="0" w:tplc="C40E09C8">
      <w:start w:val="1"/>
      <w:numFmt w:val="decimal"/>
      <w:lvlText w:val="%1."/>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EACE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68EA7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4C35B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50973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268F7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ACA1C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96151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1AFA0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47967D9"/>
    <w:multiLevelType w:val="hybridMultilevel"/>
    <w:tmpl w:val="3C54B35C"/>
    <w:lvl w:ilvl="0" w:tplc="040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A6D5472"/>
    <w:multiLevelType w:val="hybridMultilevel"/>
    <w:tmpl w:val="A23EA842"/>
    <w:lvl w:ilvl="0" w:tplc="9C0880B6">
      <w:start w:val="1"/>
      <w:numFmt w:val="low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E8515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0CCBC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D0EA25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168611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B28EA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8EEF9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33454A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5CAAA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2D976F5"/>
    <w:multiLevelType w:val="hybridMultilevel"/>
    <w:tmpl w:val="F40C3836"/>
    <w:lvl w:ilvl="0" w:tplc="E9C4A6C2">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68DC08">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623FFA">
      <w:start w:val="1"/>
      <w:numFmt w:val="bullet"/>
      <w:lvlText w:val="▪"/>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490A5E0">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881A60">
      <w:start w:val="1"/>
      <w:numFmt w:val="bullet"/>
      <w:lvlText w:val="o"/>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201F26">
      <w:start w:val="1"/>
      <w:numFmt w:val="bullet"/>
      <w:lvlText w:val="▪"/>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D2C020">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A883E8">
      <w:start w:val="1"/>
      <w:numFmt w:val="bullet"/>
      <w:lvlText w:val="o"/>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16F674">
      <w:start w:val="1"/>
      <w:numFmt w:val="bullet"/>
      <w:lvlText w:val="▪"/>
      <w:lvlJc w:val="left"/>
      <w:pPr>
        <w:ind w:left="7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6AE5D78"/>
    <w:multiLevelType w:val="hybridMultilevel"/>
    <w:tmpl w:val="14AC4E9A"/>
    <w:lvl w:ilvl="0" w:tplc="EE445CBC">
      <w:start w:val="1"/>
      <w:numFmt w:val="low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E25048">
      <w:start w:val="1"/>
      <w:numFmt w:val="lowerLetter"/>
      <w:lvlText w:val="%2"/>
      <w:lvlJc w:val="left"/>
      <w:pPr>
        <w:ind w:left="1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BE6694">
      <w:start w:val="1"/>
      <w:numFmt w:val="lowerRoman"/>
      <w:lvlText w:val="%3"/>
      <w:lvlJc w:val="left"/>
      <w:pPr>
        <w:ind w:left="1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A0B342">
      <w:start w:val="1"/>
      <w:numFmt w:val="decimal"/>
      <w:lvlText w:val="%4"/>
      <w:lvlJc w:val="left"/>
      <w:pPr>
        <w:ind w:left="2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9065B2">
      <w:start w:val="1"/>
      <w:numFmt w:val="lowerLetter"/>
      <w:lvlText w:val="%5"/>
      <w:lvlJc w:val="left"/>
      <w:pPr>
        <w:ind w:left="3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EA8DB0">
      <w:start w:val="1"/>
      <w:numFmt w:val="lowerRoman"/>
      <w:lvlText w:val="%6"/>
      <w:lvlJc w:val="left"/>
      <w:pPr>
        <w:ind w:left="3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FA8736">
      <w:start w:val="1"/>
      <w:numFmt w:val="decimal"/>
      <w:lvlText w:val="%7"/>
      <w:lvlJc w:val="left"/>
      <w:pPr>
        <w:ind w:left="46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EC2AFE">
      <w:start w:val="1"/>
      <w:numFmt w:val="lowerLetter"/>
      <w:lvlText w:val="%8"/>
      <w:lvlJc w:val="left"/>
      <w:pPr>
        <w:ind w:left="54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2027BA">
      <w:start w:val="1"/>
      <w:numFmt w:val="lowerRoman"/>
      <w:lvlText w:val="%9"/>
      <w:lvlJc w:val="left"/>
      <w:pPr>
        <w:ind w:left="61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10478A9"/>
    <w:multiLevelType w:val="hybridMultilevel"/>
    <w:tmpl w:val="3C7833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4775879"/>
    <w:multiLevelType w:val="hybridMultilevel"/>
    <w:tmpl w:val="DAD01DE6"/>
    <w:lvl w:ilvl="0" w:tplc="8022041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588E9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EA6B4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F652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64925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38005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426554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BFC7A2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51E3D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8496196"/>
    <w:multiLevelType w:val="hybridMultilevel"/>
    <w:tmpl w:val="E2322598"/>
    <w:lvl w:ilvl="0" w:tplc="7AD24F7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A45A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1169E8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0AAE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1E2FC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28B48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1E337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F9E4C5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14FDA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FA41799"/>
    <w:multiLevelType w:val="hybridMultilevel"/>
    <w:tmpl w:val="E7542DC6"/>
    <w:lvl w:ilvl="0" w:tplc="8F08D0A2">
      <w:start w:val="1"/>
      <w:numFmt w:val="decimal"/>
      <w:lvlText w:val="%1."/>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392062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1C5A0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E48DF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5ECC8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98F4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224B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D4F8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D2547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05479DB"/>
    <w:multiLevelType w:val="hybridMultilevel"/>
    <w:tmpl w:val="0FF2FA00"/>
    <w:lvl w:ilvl="0" w:tplc="6D70F610">
      <w:start w:val="1"/>
      <w:numFmt w:val="lowerLetter"/>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ED07746">
      <w:start w:val="1"/>
      <w:numFmt w:val="bullet"/>
      <w:lvlText w:val="o"/>
      <w:lvlJc w:val="left"/>
      <w:pPr>
        <w:ind w:left="14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180E1D2A">
      <w:start w:val="1"/>
      <w:numFmt w:val="bullet"/>
      <w:lvlText w:val="▪"/>
      <w:lvlJc w:val="left"/>
      <w:pPr>
        <w:ind w:left="21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36BAE4C2">
      <w:start w:val="1"/>
      <w:numFmt w:val="bullet"/>
      <w:lvlText w:val="•"/>
      <w:lvlJc w:val="left"/>
      <w:pPr>
        <w:ind w:left="28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8C4A5C7A">
      <w:start w:val="1"/>
      <w:numFmt w:val="bullet"/>
      <w:lvlText w:val="o"/>
      <w:lvlJc w:val="left"/>
      <w:pPr>
        <w:ind w:left="36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3CBC8C72">
      <w:start w:val="1"/>
      <w:numFmt w:val="bullet"/>
      <w:lvlText w:val="▪"/>
      <w:lvlJc w:val="left"/>
      <w:pPr>
        <w:ind w:left="43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9D50706E">
      <w:start w:val="1"/>
      <w:numFmt w:val="bullet"/>
      <w:lvlText w:val="•"/>
      <w:lvlJc w:val="left"/>
      <w:pPr>
        <w:ind w:left="50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9BF48148">
      <w:start w:val="1"/>
      <w:numFmt w:val="bullet"/>
      <w:lvlText w:val="o"/>
      <w:lvlJc w:val="left"/>
      <w:pPr>
        <w:ind w:left="57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38CEB7F4">
      <w:start w:val="1"/>
      <w:numFmt w:val="bullet"/>
      <w:lvlText w:val="▪"/>
      <w:lvlJc w:val="left"/>
      <w:pPr>
        <w:ind w:left="64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2084F30"/>
    <w:multiLevelType w:val="hybridMultilevel"/>
    <w:tmpl w:val="52F85A30"/>
    <w:lvl w:ilvl="0" w:tplc="51BC20AC">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E435B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28693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5EE5F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520C52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22C349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BCCFF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64E48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3CF2F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52B833D5"/>
    <w:multiLevelType w:val="hybridMultilevel"/>
    <w:tmpl w:val="3B98ABF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B796EE2"/>
    <w:multiLevelType w:val="hybridMultilevel"/>
    <w:tmpl w:val="24E6F864"/>
    <w:lvl w:ilvl="0" w:tplc="D39A4D6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F3CC02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82FC6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0AB0A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B42B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8808D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1C599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7E13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00168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89B4532"/>
    <w:multiLevelType w:val="hybridMultilevel"/>
    <w:tmpl w:val="BB985342"/>
    <w:lvl w:ilvl="0" w:tplc="866EA062">
      <w:start w:val="1"/>
      <w:numFmt w:val="low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12B8E8">
      <w:start w:val="1"/>
      <w:numFmt w:val="lowerLetter"/>
      <w:lvlText w:val="%2"/>
      <w:lvlJc w:val="left"/>
      <w:pPr>
        <w:ind w:left="12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5684A6">
      <w:start w:val="1"/>
      <w:numFmt w:val="lowerRoman"/>
      <w:lvlText w:val="%3"/>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338F68E">
      <w:start w:val="1"/>
      <w:numFmt w:val="decimal"/>
      <w:lvlText w:val="%4"/>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52E5FC">
      <w:start w:val="1"/>
      <w:numFmt w:val="lowerLetter"/>
      <w:lvlText w:val="%5"/>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B7AE416">
      <w:start w:val="1"/>
      <w:numFmt w:val="lowerRoman"/>
      <w:lvlText w:val="%6"/>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02E14C">
      <w:start w:val="1"/>
      <w:numFmt w:val="decimal"/>
      <w:lvlText w:val="%7"/>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9A3D54">
      <w:start w:val="1"/>
      <w:numFmt w:val="lowerLetter"/>
      <w:lvlText w:val="%8"/>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28FD0E">
      <w:start w:val="1"/>
      <w:numFmt w:val="lowerRoman"/>
      <w:lvlText w:val="%9"/>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C9C68D4"/>
    <w:multiLevelType w:val="hybridMultilevel"/>
    <w:tmpl w:val="BDDE5FCC"/>
    <w:lvl w:ilvl="0" w:tplc="92B21D14">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E7E41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922BD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0C13F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900D65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A0E67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4C41D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908F6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EEEC3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6D145CA9"/>
    <w:multiLevelType w:val="hybridMultilevel"/>
    <w:tmpl w:val="EECA47E2"/>
    <w:lvl w:ilvl="0" w:tplc="0AC6BBA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A3C621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38C7A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2ECDB5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F2F6B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A8C61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FA849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7A0C4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82061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E38188B"/>
    <w:multiLevelType w:val="hybridMultilevel"/>
    <w:tmpl w:val="F27AB65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9FAADEBC">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9CE21A3"/>
    <w:multiLevelType w:val="hybridMultilevel"/>
    <w:tmpl w:val="47DA00E0"/>
    <w:lvl w:ilvl="0" w:tplc="0A721C0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B66184">
      <w:start w:val="1"/>
      <w:numFmt w:val="bullet"/>
      <w:lvlText w:val="-"/>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4CCF6FE">
      <w:start w:val="1"/>
      <w:numFmt w:val="bullet"/>
      <w:lvlText w:val="▪"/>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D88626C">
      <w:start w:val="1"/>
      <w:numFmt w:val="bullet"/>
      <w:lvlText w:val="•"/>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DB8187A">
      <w:start w:val="1"/>
      <w:numFmt w:val="bullet"/>
      <w:lvlText w:val="o"/>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D508B36">
      <w:start w:val="1"/>
      <w:numFmt w:val="bullet"/>
      <w:lvlText w:val="▪"/>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126694C">
      <w:start w:val="1"/>
      <w:numFmt w:val="bullet"/>
      <w:lvlText w:val="•"/>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95C0302">
      <w:start w:val="1"/>
      <w:numFmt w:val="bullet"/>
      <w:lvlText w:val="o"/>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F5CCB32">
      <w:start w:val="1"/>
      <w:numFmt w:val="bullet"/>
      <w:lvlText w:val="▪"/>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7C807AF4"/>
    <w:multiLevelType w:val="hybridMultilevel"/>
    <w:tmpl w:val="55F4E4CA"/>
    <w:lvl w:ilvl="0" w:tplc="B16057C4">
      <w:start w:val="1"/>
      <w:numFmt w:val="low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9BE0ADA">
      <w:start w:val="1"/>
      <w:numFmt w:val="lowerLetter"/>
      <w:lvlText w:val="%2"/>
      <w:lvlJc w:val="left"/>
      <w:pPr>
        <w:ind w:left="1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8BE474C">
      <w:start w:val="1"/>
      <w:numFmt w:val="lowerRoman"/>
      <w:lvlText w:val="%3"/>
      <w:lvlJc w:val="left"/>
      <w:pPr>
        <w:ind w:left="1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465D96">
      <w:start w:val="1"/>
      <w:numFmt w:val="decimal"/>
      <w:lvlText w:val="%4"/>
      <w:lvlJc w:val="left"/>
      <w:pPr>
        <w:ind w:left="2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3D83BB2">
      <w:start w:val="1"/>
      <w:numFmt w:val="lowerLetter"/>
      <w:lvlText w:val="%5"/>
      <w:lvlJc w:val="left"/>
      <w:pPr>
        <w:ind w:left="3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76A76C">
      <w:start w:val="1"/>
      <w:numFmt w:val="lowerRoman"/>
      <w:lvlText w:val="%6"/>
      <w:lvlJc w:val="left"/>
      <w:pPr>
        <w:ind w:left="3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9EDC2A">
      <w:start w:val="1"/>
      <w:numFmt w:val="decimal"/>
      <w:lvlText w:val="%7"/>
      <w:lvlJc w:val="left"/>
      <w:pPr>
        <w:ind w:left="46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6C22BA8">
      <w:start w:val="1"/>
      <w:numFmt w:val="lowerLetter"/>
      <w:lvlText w:val="%8"/>
      <w:lvlJc w:val="left"/>
      <w:pPr>
        <w:ind w:left="54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3C6D7A">
      <w:start w:val="1"/>
      <w:numFmt w:val="lowerRoman"/>
      <w:lvlText w:val="%9"/>
      <w:lvlJc w:val="left"/>
      <w:pPr>
        <w:ind w:left="61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7D707583"/>
    <w:multiLevelType w:val="hybridMultilevel"/>
    <w:tmpl w:val="EC24E7CA"/>
    <w:lvl w:ilvl="0" w:tplc="F6D4EE2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3C241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9A0BD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94B5D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1C4F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8CBF3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E7A588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3A25A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20114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2102529511">
    <w:abstractNumId w:val="5"/>
  </w:num>
  <w:num w:numId="2" w16cid:durableId="2133088148">
    <w:abstractNumId w:val="19"/>
  </w:num>
  <w:num w:numId="3" w16cid:durableId="1904485932">
    <w:abstractNumId w:val="15"/>
  </w:num>
  <w:num w:numId="4" w16cid:durableId="581452251">
    <w:abstractNumId w:val="14"/>
  </w:num>
  <w:num w:numId="5" w16cid:durableId="1241677316">
    <w:abstractNumId w:val="3"/>
  </w:num>
  <w:num w:numId="6" w16cid:durableId="549655968">
    <w:abstractNumId w:val="18"/>
  </w:num>
  <w:num w:numId="7" w16cid:durableId="263079153">
    <w:abstractNumId w:val="10"/>
  </w:num>
  <w:num w:numId="8" w16cid:durableId="2015915002">
    <w:abstractNumId w:val="9"/>
  </w:num>
  <w:num w:numId="9" w16cid:durableId="151913228">
    <w:abstractNumId w:val="4"/>
  </w:num>
  <w:num w:numId="10" w16cid:durableId="1992369763">
    <w:abstractNumId w:val="0"/>
  </w:num>
  <w:num w:numId="11" w16cid:durableId="766736026">
    <w:abstractNumId w:val="8"/>
  </w:num>
  <w:num w:numId="12" w16cid:durableId="1318722726">
    <w:abstractNumId w:val="20"/>
  </w:num>
  <w:num w:numId="13" w16cid:durableId="1031999644">
    <w:abstractNumId w:val="16"/>
  </w:num>
  <w:num w:numId="14" w16cid:durableId="306592894">
    <w:abstractNumId w:val="7"/>
  </w:num>
  <w:num w:numId="15" w16cid:durableId="926698171">
    <w:abstractNumId w:val="13"/>
  </w:num>
  <w:num w:numId="16" w16cid:durableId="1233151401">
    <w:abstractNumId w:val="1"/>
  </w:num>
  <w:num w:numId="17" w16cid:durableId="1782144847">
    <w:abstractNumId w:val="11"/>
  </w:num>
  <w:num w:numId="18" w16cid:durableId="304706280">
    <w:abstractNumId w:val="17"/>
  </w:num>
  <w:num w:numId="19" w16cid:durableId="1223442316">
    <w:abstractNumId w:val="2"/>
  </w:num>
  <w:num w:numId="20" w16cid:durableId="1373111314">
    <w:abstractNumId w:val="12"/>
  </w:num>
  <w:num w:numId="21" w16cid:durableId="44612478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déla Haluzová">
    <w15:presenceInfo w15:providerId="Windows Live" w15:userId="3bcad99de9e380f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37B8"/>
    <w:rsid w:val="00054175"/>
    <w:rsid w:val="000744F6"/>
    <w:rsid w:val="000A43F1"/>
    <w:rsid w:val="000B14AF"/>
    <w:rsid w:val="000D56C3"/>
    <w:rsid w:val="000F7FB7"/>
    <w:rsid w:val="001161FF"/>
    <w:rsid w:val="001533C5"/>
    <w:rsid w:val="0016366C"/>
    <w:rsid w:val="00184483"/>
    <w:rsid w:val="00196073"/>
    <w:rsid w:val="002137B8"/>
    <w:rsid w:val="00216218"/>
    <w:rsid w:val="00237DE3"/>
    <w:rsid w:val="00261911"/>
    <w:rsid w:val="00271263"/>
    <w:rsid w:val="0027469B"/>
    <w:rsid w:val="003B3DFB"/>
    <w:rsid w:val="003E1D5D"/>
    <w:rsid w:val="003E2E4A"/>
    <w:rsid w:val="004107D6"/>
    <w:rsid w:val="005227EC"/>
    <w:rsid w:val="00560051"/>
    <w:rsid w:val="00592D09"/>
    <w:rsid w:val="005B25C7"/>
    <w:rsid w:val="005C3AA3"/>
    <w:rsid w:val="005E107B"/>
    <w:rsid w:val="00644AEE"/>
    <w:rsid w:val="006522EF"/>
    <w:rsid w:val="006A6DFA"/>
    <w:rsid w:val="00722C32"/>
    <w:rsid w:val="00741FBC"/>
    <w:rsid w:val="007C34DA"/>
    <w:rsid w:val="007C4294"/>
    <w:rsid w:val="007C7F9C"/>
    <w:rsid w:val="007E5260"/>
    <w:rsid w:val="0083725F"/>
    <w:rsid w:val="00844348"/>
    <w:rsid w:val="00867EBC"/>
    <w:rsid w:val="00876D72"/>
    <w:rsid w:val="008B512A"/>
    <w:rsid w:val="009427A2"/>
    <w:rsid w:val="00952C29"/>
    <w:rsid w:val="00977F11"/>
    <w:rsid w:val="009904B1"/>
    <w:rsid w:val="00996A7E"/>
    <w:rsid w:val="009C52E8"/>
    <w:rsid w:val="00A37061"/>
    <w:rsid w:val="00B10C2C"/>
    <w:rsid w:val="00B360DB"/>
    <w:rsid w:val="00B64E04"/>
    <w:rsid w:val="00B80D92"/>
    <w:rsid w:val="00BD548D"/>
    <w:rsid w:val="00BD6E8F"/>
    <w:rsid w:val="00C6355E"/>
    <w:rsid w:val="00C93769"/>
    <w:rsid w:val="00D42E91"/>
    <w:rsid w:val="00D458FD"/>
    <w:rsid w:val="00D64A9D"/>
    <w:rsid w:val="00DB2036"/>
    <w:rsid w:val="00DD246F"/>
    <w:rsid w:val="00E34A8D"/>
    <w:rsid w:val="00E40C05"/>
    <w:rsid w:val="00E54C1F"/>
    <w:rsid w:val="00EA46EF"/>
    <w:rsid w:val="00F46A5A"/>
    <w:rsid w:val="00F91F7C"/>
    <w:rsid w:val="00FB606D"/>
    <w:rsid w:val="00FF5F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07FC2"/>
  <w15:docId w15:val="{DEFE8856-00A8-4591-B64E-66F22EC61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3" w:line="249" w:lineRule="auto"/>
      <w:ind w:left="10" w:hanging="10"/>
      <w:jc w:val="both"/>
    </w:pPr>
    <w:rPr>
      <w:rFonts w:ascii="Times New Roman" w:eastAsia="Times New Roman" w:hAnsi="Times New Roman" w:cs="Times New Roman"/>
      <w:color w:val="000000"/>
      <w:sz w:val="24"/>
    </w:rPr>
  </w:style>
  <w:style w:type="paragraph" w:styleId="Nadpis1">
    <w:name w:val="heading 1"/>
    <w:next w:val="Normln"/>
    <w:link w:val="Nadpis1Char"/>
    <w:uiPriority w:val="9"/>
    <w:qFormat/>
    <w:pPr>
      <w:keepNext/>
      <w:keepLines/>
      <w:spacing w:after="367" w:line="267" w:lineRule="auto"/>
      <w:ind w:left="10" w:hanging="10"/>
      <w:jc w:val="center"/>
      <w:outlineLvl w:val="0"/>
    </w:pPr>
    <w:rPr>
      <w:rFonts w:ascii="Times New Roman" w:eastAsia="Times New Roman" w:hAnsi="Times New Roman" w:cs="Times New Roman"/>
      <w:b/>
      <w:color w:val="00000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Odstavecseseznamem">
    <w:name w:val="List Paragraph"/>
    <w:basedOn w:val="Normln"/>
    <w:uiPriority w:val="34"/>
    <w:qFormat/>
    <w:rsid w:val="008B512A"/>
    <w:pPr>
      <w:ind w:left="720"/>
      <w:contextualSpacing/>
    </w:pPr>
  </w:style>
  <w:style w:type="character" w:styleId="Hypertextovodkaz">
    <w:name w:val="Hyperlink"/>
    <w:basedOn w:val="Standardnpsmoodstavce"/>
    <w:uiPriority w:val="99"/>
    <w:unhideWhenUsed/>
    <w:rsid w:val="00867EBC"/>
    <w:rPr>
      <w:color w:val="0563C1" w:themeColor="hyperlink"/>
      <w:u w:val="single"/>
    </w:rPr>
  </w:style>
  <w:style w:type="character" w:styleId="Nevyeenzmnka">
    <w:name w:val="Unresolved Mention"/>
    <w:basedOn w:val="Standardnpsmoodstavce"/>
    <w:uiPriority w:val="99"/>
    <w:semiHidden/>
    <w:unhideWhenUsed/>
    <w:rsid w:val="00867EBC"/>
    <w:rPr>
      <w:color w:val="605E5C"/>
      <w:shd w:val="clear" w:color="auto" w:fill="E1DFDD"/>
    </w:rPr>
  </w:style>
  <w:style w:type="character" w:styleId="Odkaznakoment">
    <w:name w:val="annotation reference"/>
    <w:basedOn w:val="Standardnpsmoodstavce"/>
    <w:uiPriority w:val="99"/>
    <w:semiHidden/>
    <w:unhideWhenUsed/>
    <w:rsid w:val="00F91F7C"/>
    <w:rPr>
      <w:sz w:val="16"/>
      <w:szCs w:val="16"/>
    </w:rPr>
  </w:style>
  <w:style w:type="paragraph" w:styleId="Textkomente">
    <w:name w:val="annotation text"/>
    <w:basedOn w:val="Normln"/>
    <w:link w:val="TextkomenteChar"/>
    <w:uiPriority w:val="99"/>
    <w:semiHidden/>
    <w:unhideWhenUsed/>
    <w:rsid w:val="00F91F7C"/>
    <w:pPr>
      <w:spacing w:line="240" w:lineRule="auto"/>
    </w:pPr>
    <w:rPr>
      <w:sz w:val="20"/>
      <w:szCs w:val="20"/>
    </w:rPr>
  </w:style>
  <w:style w:type="character" w:customStyle="1" w:styleId="TextkomenteChar">
    <w:name w:val="Text komentáře Char"/>
    <w:basedOn w:val="Standardnpsmoodstavce"/>
    <w:link w:val="Textkomente"/>
    <w:uiPriority w:val="99"/>
    <w:semiHidden/>
    <w:rsid w:val="00F91F7C"/>
    <w:rPr>
      <w:rFonts w:ascii="Times New Roman" w:eastAsia="Times New Roman" w:hAnsi="Times New Roman" w:cs="Times New Roman"/>
      <w:color w:val="000000"/>
      <w:sz w:val="20"/>
      <w:szCs w:val="20"/>
    </w:rPr>
  </w:style>
  <w:style w:type="paragraph" w:styleId="Pedmtkomente">
    <w:name w:val="annotation subject"/>
    <w:basedOn w:val="Textkomente"/>
    <w:next w:val="Textkomente"/>
    <w:link w:val="PedmtkomenteChar"/>
    <w:uiPriority w:val="99"/>
    <w:semiHidden/>
    <w:unhideWhenUsed/>
    <w:rsid w:val="00F91F7C"/>
    <w:rPr>
      <w:b/>
      <w:bCs/>
    </w:rPr>
  </w:style>
  <w:style w:type="character" w:customStyle="1" w:styleId="PedmtkomenteChar">
    <w:name w:val="Předmět komentáře Char"/>
    <w:basedOn w:val="TextkomenteChar"/>
    <w:link w:val="Pedmtkomente"/>
    <w:uiPriority w:val="99"/>
    <w:semiHidden/>
    <w:rsid w:val="00F91F7C"/>
    <w:rPr>
      <w:rFonts w:ascii="Times New Roman" w:eastAsia="Times New Roman" w:hAnsi="Times New Roman" w:cs="Times New Roman"/>
      <w:b/>
      <w:bCs/>
      <w:color w:val="000000"/>
      <w:sz w:val="20"/>
      <w:szCs w:val="20"/>
    </w:rPr>
  </w:style>
  <w:style w:type="paragraph" w:styleId="Revize">
    <w:name w:val="Revision"/>
    <w:hidden/>
    <w:uiPriority w:val="99"/>
    <w:semiHidden/>
    <w:rsid w:val="00196073"/>
    <w:pPr>
      <w:spacing w:after="0" w:line="240" w:lineRule="auto"/>
    </w:pPr>
    <w:rPr>
      <w:rFonts w:ascii="Times New Roman" w:eastAsia="Times New Roman" w:hAnsi="Times New Roman" w:cs="Times New Roman"/>
      <w:color w:val="000000"/>
      <w:sz w:val="24"/>
    </w:rPr>
  </w:style>
  <w:style w:type="paragraph" w:styleId="Textvbloku">
    <w:name w:val="Block Text"/>
    <w:basedOn w:val="Normln"/>
    <w:unhideWhenUsed/>
    <w:rsid w:val="003B3DFB"/>
    <w:pPr>
      <w:widowControl w:val="0"/>
      <w:spacing w:after="0" w:line="240" w:lineRule="auto"/>
      <w:ind w:left="0" w:right="-92" w:firstLine="0"/>
    </w:pPr>
    <w:rPr>
      <w:rFonts w:ascii="Courier New" w:eastAsia="Courier New" w:hAnsi="Courier New" w:cs="Courier New"/>
      <w:color w:val="auto"/>
      <w:kern w:val="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Ivana.Havlickova@praha17.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1/relationships/commentsExtended" Target="commentsExtended.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4AC745-898F-4FFE-AF90-727EC2FE6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2483</Words>
  <Characters>14650</Characters>
  <Application>Microsoft Office Word</Application>
  <DocSecurity>0</DocSecurity>
  <Lines>122</Lines>
  <Paragraphs>34</Paragraphs>
  <ScaleCrop>false</ScaleCrop>
  <HeadingPairs>
    <vt:vector size="2" baseType="variant">
      <vt:variant>
        <vt:lpstr>Název</vt:lpstr>
      </vt:variant>
      <vt:variant>
        <vt:i4>1</vt:i4>
      </vt:variant>
    </vt:vector>
  </HeadingPairs>
  <TitlesOfParts>
    <vt:vector size="1" baseType="lpstr">
      <vt:lpstr>Smlouva</vt:lpstr>
    </vt:vector>
  </TitlesOfParts>
  <Company/>
  <LinksUpToDate>false</LinksUpToDate>
  <CharactersWithSpaces>17099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Danuše Přibylová</dc:creator>
  <cp:keywords/>
  <cp:lastModifiedBy>Adéla Haluzová</cp:lastModifiedBy>
  <cp:revision>27</cp:revision>
  <dcterms:created xsi:type="dcterms:W3CDTF">2025-12-12T10:58:00Z</dcterms:created>
  <dcterms:modified xsi:type="dcterms:W3CDTF">2025-12-12T15:00:00Z</dcterms:modified>
</cp:coreProperties>
</file>